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65"/>
        <w:gridCol w:w="1276"/>
        <w:gridCol w:w="1559"/>
      </w:tblGrid>
      <w:tr w:rsidR="00F51B15" w:rsidTr="003E6D85">
        <w:trPr>
          <w:trHeight w:val="680"/>
        </w:trPr>
        <w:tc>
          <w:tcPr>
            <w:tcW w:w="11165" w:type="dxa"/>
            <w:vMerge w:val="restart"/>
            <w:vAlign w:val="center"/>
          </w:tcPr>
          <w:p w:rsidR="00F51B15" w:rsidRPr="000A49FB" w:rsidRDefault="00DB77BC" w:rsidP="000A49FB">
            <w:pPr>
              <w:pStyle w:val="Titill"/>
            </w:pPr>
            <w:r>
              <w:t>Vefnaðarvörur</w:t>
            </w:r>
            <w:r w:rsidR="00F51B15" w:rsidRPr="000A49FB">
              <w:t xml:space="preserve"> - umhverfisskilyrði</w:t>
            </w:r>
          </w:p>
        </w:tc>
        <w:tc>
          <w:tcPr>
            <w:tcW w:w="1276" w:type="dxa"/>
            <w:vAlign w:val="bottom"/>
          </w:tcPr>
          <w:p w:rsidR="00F51B15" w:rsidRDefault="00F51B15">
            <w:r>
              <w:t>Dags.</w:t>
            </w:r>
          </w:p>
        </w:tc>
        <w:tc>
          <w:tcPr>
            <w:tcW w:w="1559" w:type="dxa"/>
            <w:vAlign w:val="bottom"/>
          </w:tcPr>
          <w:p w:rsidR="00F51B15" w:rsidRDefault="00F51B15" w:rsidP="000779BE">
            <w:pPr>
              <w:jc w:val="right"/>
            </w:pPr>
            <w:r>
              <w:t>201</w:t>
            </w:r>
            <w:r w:rsidR="00AC0667">
              <w:t>2</w:t>
            </w:r>
            <w:r>
              <w:t>-</w:t>
            </w:r>
            <w:r w:rsidR="00AC0667">
              <w:t>0</w:t>
            </w:r>
            <w:r w:rsidR="00C66859">
              <w:t>8</w:t>
            </w:r>
            <w:r>
              <w:t>-</w:t>
            </w:r>
            <w:r w:rsidR="000779BE">
              <w:t>10</w:t>
            </w:r>
          </w:p>
        </w:tc>
      </w:tr>
      <w:tr w:rsidR="00F51B15" w:rsidTr="003E6D85">
        <w:trPr>
          <w:trHeight w:val="680"/>
        </w:trPr>
        <w:tc>
          <w:tcPr>
            <w:tcW w:w="11165" w:type="dxa"/>
            <w:vMerge/>
            <w:vAlign w:val="center"/>
          </w:tcPr>
          <w:p w:rsidR="00F51B15" w:rsidRDefault="00F51B15"/>
        </w:tc>
        <w:tc>
          <w:tcPr>
            <w:tcW w:w="1276" w:type="dxa"/>
            <w:vAlign w:val="bottom"/>
          </w:tcPr>
          <w:p w:rsidR="00F51B15" w:rsidRDefault="00F51B15">
            <w:r>
              <w:t>Útgáfa</w:t>
            </w:r>
          </w:p>
        </w:tc>
        <w:tc>
          <w:tcPr>
            <w:tcW w:w="1559" w:type="dxa"/>
            <w:vAlign w:val="bottom"/>
          </w:tcPr>
          <w:p w:rsidR="00F51B15" w:rsidRDefault="00AC0667" w:rsidP="000A49FB">
            <w:pPr>
              <w:jc w:val="right"/>
            </w:pPr>
            <w:r>
              <w:t>2</w:t>
            </w:r>
            <w:r w:rsidR="000A49FB">
              <w:t>.0</w:t>
            </w:r>
          </w:p>
        </w:tc>
      </w:tr>
    </w:tbl>
    <w:p w:rsidR="007566D8" w:rsidRPr="00F51B15" w:rsidRDefault="000A49FB" w:rsidP="000A49FB">
      <w:pPr>
        <w:pStyle w:val="Heading1"/>
      </w:pPr>
      <w:r>
        <w:t>V</w:t>
      </w:r>
      <w:r w:rsidR="007566D8" w:rsidRPr="00F51B15">
        <w:t>iðfangsefni og gildissvið</w:t>
      </w:r>
    </w:p>
    <w:p w:rsidR="002A0F11" w:rsidRDefault="002A0F11" w:rsidP="002A0F11">
      <w:r>
        <w:t xml:space="preserve">Umhverfisskilyrðin eru sett fram á vegum verkefnisins Vistvæn innkaup sem er samstarfsverkefni ríkis og sveitarfélaga, sjá nánar á </w:t>
      </w:r>
      <w:hyperlink r:id="rId9" w:history="1">
        <w:r w:rsidRPr="00E06B88">
          <w:rPr>
            <w:rStyle w:val="Hyperlink"/>
          </w:rPr>
          <w:t>www.vinn.is</w:t>
        </w:r>
      </w:hyperlink>
      <w:r>
        <w:t xml:space="preserve">. </w:t>
      </w:r>
    </w:p>
    <w:p w:rsidR="002A0F11" w:rsidRDefault="002A0F11" w:rsidP="002A0F11">
      <w:r>
        <w:t>Umhverfisskilyrðin eru</w:t>
      </w:r>
      <w:r w:rsidRPr="00DD1129">
        <w:t xml:space="preserve"> byggð á viðmiðum framkvæmdastjórnar ESB um vistvæn innkaup, EC GPP Training Toolkit</w:t>
      </w:r>
      <w:r>
        <w:t xml:space="preserve">, </w:t>
      </w:r>
      <w:hyperlink r:id="rId10" w:history="1">
        <w:r w:rsidRPr="00C958E2">
          <w:rPr>
            <w:rStyle w:val="Hyperlink"/>
          </w:rPr>
          <w:t>http://ec.europa.eu/environment/gpp/toolkit_en.htm</w:t>
        </w:r>
      </w:hyperlink>
      <w:r>
        <w:t xml:space="preserve">. </w:t>
      </w:r>
    </w:p>
    <w:p w:rsidR="002A0F11" w:rsidRPr="00F934B8" w:rsidRDefault="002A0F11" w:rsidP="002A0F11">
      <w:pPr>
        <w:rPr>
          <w:b/>
        </w:rPr>
      </w:pPr>
      <w:r w:rsidRPr="00F934B8">
        <w:rPr>
          <w:b/>
        </w:rPr>
        <w:t>Þessi skilyrði fjalla um innkaup á</w:t>
      </w:r>
      <w:r w:rsidR="00AC0667" w:rsidRPr="00F934B8">
        <w:rPr>
          <w:b/>
        </w:rPr>
        <w:t xml:space="preserve"> </w:t>
      </w:r>
      <w:r w:rsidR="009B7101">
        <w:rPr>
          <w:b/>
        </w:rPr>
        <w:t>eftirfarandi:</w:t>
      </w:r>
    </w:p>
    <w:p w:rsidR="00AC0667" w:rsidRPr="00F934B8" w:rsidRDefault="00AC0667" w:rsidP="00AC0667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F934B8">
        <w:rPr>
          <w:b/>
        </w:rPr>
        <w:t xml:space="preserve">Fatnaður og fylgihlutir (svo sem handklæði, klútar, taupokar og innkaupapokar, bakpokar, belti o.s.frv.) sem innihalda að minnsta kosti 90%  textíltrefjar, sem hlutfall af þyngd.  </w:t>
      </w:r>
    </w:p>
    <w:p w:rsidR="00AC0667" w:rsidRPr="00F934B8" w:rsidRDefault="00AC0667" w:rsidP="00AC0667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F934B8">
        <w:rPr>
          <w:b/>
        </w:rPr>
        <w:t xml:space="preserve">Vefnaðarvörur til innanhússnota sem innihalda að minnsta kosti 90% textíltrefjar, sem hlutfall af þyngd.  Vegg- og gólfklæðingar (teppi) eru </w:t>
      </w:r>
      <w:r w:rsidR="009B7101" w:rsidRPr="00F934B8">
        <w:rPr>
          <w:b/>
        </w:rPr>
        <w:t>undanskil</w:t>
      </w:r>
      <w:r w:rsidR="009B7101">
        <w:rPr>
          <w:b/>
        </w:rPr>
        <w:t>dar</w:t>
      </w:r>
      <w:r w:rsidR="009B7101" w:rsidRPr="00F934B8">
        <w:rPr>
          <w:b/>
        </w:rPr>
        <w:t xml:space="preserve"> </w:t>
      </w:r>
      <w:r w:rsidRPr="00F934B8">
        <w:rPr>
          <w:b/>
        </w:rPr>
        <w:t>viðmiðunum.</w:t>
      </w:r>
    </w:p>
    <w:p w:rsidR="00AC0667" w:rsidRPr="00F934B8" w:rsidRDefault="00AC0667" w:rsidP="00AC0667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F934B8">
        <w:rPr>
          <w:b/>
        </w:rPr>
        <w:t>Trefjar, garn og vefnaðarvörur, sem hráefni til nota í ofangreindum flokkum.</w:t>
      </w:r>
    </w:p>
    <w:p w:rsidR="00AC0667" w:rsidRDefault="00AC0667" w:rsidP="00AC0667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</w:pPr>
    </w:p>
    <w:p w:rsidR="00AC0667" w:rsidRDefault="00AC0667" w:rsidP="00AC0667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</w:pPr>
      <w:r w:rsidRPr="00F549F5">
        <w:t xml:space="preserve">Við útreikning á hlutfalli á þyngd má draga dún, fjaðrir og filmur frá heildarþyngd. </w:t>
      </w:r>
    </w:p>
    <w:p w:rsidR="006C5090" w:rsidRPr="00F549F5" w:rsidRDefault="006C5090" w:rsidP="00AC0667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</w:pPr>
      <w:r w:rsidRPr="007848DE">
        <w:rPr>
          <w:b/>
        </w:rPr>
        <w:t>Athugið</w:t>
      </w:r>
      <w:r w:rsidRPr="007848DE">
        <w:t>: Efnaheiti eru á ensku til hagræðis fyrir birgja sem í flestu</w:t>
      </w:r>
      <w:r w:rsidR="00C66859" w:rsidRPr="007848DE">
        <w:t xml:space="preserve">m tilfellum senda fyrirspurnir </w:t>
      </w:r>
      <w:r w:rsidR="007848DE">
        <w:t xml:space="preserve">áfram </w:t>
      </w:r>
      <w:r w:rsidR="00C66859" w:rsidRPr="007848DE">
        <w:t>til sinna erlendu birgja.</w:t>
      </w:r>
    </w:p>
    <w:p w:rsidR="00AC0667" w:rsidRDefault="00AC0667" w:rsidP="002A0F11"/>
    <w:p w:rsidR="00F934B8" w:rsidRPr="00DD1129" w:rsidRDefault="00F934B8" w:rsidP="00F934B8">
      <w:r>
        <w:t>Umhverfisskilyrðin</w:t>
      </w:r>
      <w:r w:rsidRPr="00DD1129">
        <w:t xml:space="preserve"> skiptast í grunnviðmið og ítarviðmið</w:t>
      </w:r>
      <w:r>
        <w:t>. Við gerð útboðsgagna er hægt að nýta annað hvort grunn- eða ítarviðmiðin:</w:t>
      </w:r>
    </w:p>
    <w:p w:rsidR="00F934B8" w:rsidRDefault="00F934B8" w:rsidP="00F934B8">
      <w:pPr>
        <w:pStyle w:val="ListParagraph"/>
        <w:numPr>
          <w:ilvl w:val="0"/>
          <w:numId w:val="31"/>
        </w:numPr>
      </w:pPr>
      <w:r w:rsidRPr="00DD1129">
        <w:rPr>
          <w:b/>
        </w:rPr>
        <w:t>Grunnviðmið</w:t>
      </w:r>
      <w:r w:rsidRPr="00DD1129">
        <w:t xml:space="preserve">; með þeim er lögð áhersla á mikilvægustu umhverfisáhrif </w:t>
      </w:r>
      <w:r>
        <w:t>vörunnar eða þjónustunnar</w:t>
      </w:r>
      <w:r w:rsidRPr="00DD1129">
        <w:t>. Viðmiðin eru þannig útfærð að það er tiltölulega auðvelt að sannreyna að þau séu uppfyllt.</w:t>
      </w:r>
    </w:p>
    <w:p w:rsidR="00F934B8" w:rsidRDefault="00F934B8" w:rsidP="00F934B8">
      <w:pPr>
        <w:pStyle w:val="ListParagraph"/>
        <w:numPr>
          <w:ilvl w:val="0"/>
          <w:numId w:val="31"/>
        </w:numPr>
      </w:pPr>
      <w:r w:rsidRPr="00DA346D">
        <w:rPr>
          <w:b/>
        </w:rPr>
        <w:t>Ítarviðmið</w:t>
      </w:r>
      <w:r w:rsidRPr="00DD1129">
        <w:t xml:space="preserve">; </w:t>
      </w:r>
      <w:r w:rsidR="00721BE2">
        <w:t>gera meiri kröfur til vörunnar eða þjónustunnar um að hún</w:t>
      </w:r>
      <w:r>
        <w:t xml:space="preserve"> sé sú besta á markaðnum. T</w:t>
      </w:r>
      <w:r w:rsidRPr="00DD1129">
        <w:t xml:space="preserve">il að sannreyna að ítarviðmiðin séu uppfyllt </w:t>
      </w:r>
      <w:r>
        <w:t>getur þurft</w:t>
      </w:r>
      <w:r w:rsidRPr="00DD1129">
        <w:t xml:space="preserve"> meir</w:t>
      </w:r>
      <w:r>
        <w:t>i þekkingu á vistvænum innkaupum</w:t>
      </w:r>
      <w:r w:rsidRPr="00DD1129">
        <w:t xml:space="preserve">. </w:t>
      </w:r>
    </w:p>
    <w:p w:rsidR="00F934B8" w:rsidRDefault="00F934B8" w:rsidP="00F934B8">
      <w:r>
        <w:lastRenderedPageBreak/>
        <w:t>Grunn- og ítarviðmiðin samanstanda af lágmarksskilyrðum og matsviðmiðum:</w:t>
      </w:r>
    </w:p>
    <w:p w:rsidR="00F934B8" w:rsidRDefault="00F934B8" w:rsidP="00F934B8">
      <w:r w:rsidRPr="000B4048">
        <w:rPr>
          <w:b/>
        </w:rPr>
        <w:t>Lágmarksskilyrði</w:t>
      </w:r>
      <w:r>
        <w:t>; eru ófrávíkjanleg skilyrði sem boðin vara eða þjónusta skal uppfylla til að tilboð verði tekið til nánari skoðunar.</w:t>
      </w:r>
    </w:p>
    <w:p w:rsidR="007566D8" w:rsidRDefault="00F934B8" w:rsidP="00F934B8">
      <w:r w:rsidRPr="000B4048">
        <w:rPr>
          <w:b/>
        </w:rPr>
        <w:t>Matsviðmið</w:t>
      </w:r>
      <w:r>
        <w:t>;</w:t>
      </w:r>
      <w:r w:rsidRPr="00F55608">
        <w:t xml:space="preserve"> </w:t>
      </w:r>
      <w:r>
        <w:t>má nota</w:t>
      </w:r>
      <w:r w:rsidRPr="00DD1129">
        <w:t xml:space="preserve"> ef útboðsaðili vill veita tilboði aukastig sem stendur sig betur en lágmarksskilyrðin segja til um varðandi umhverfis-</w:t>
      </w:r>
      <w:r>
        <w:t xml:space="preserve"> </w:t>
      </w:r>
      <w:r w:rsidRPr="00DD1129">
        <w:t>og gæðaþætti. Í stigagjöf geta matsviðmið fyrir umhverfisþætti veg</w:t>
      </w:r>
      <w:r>
        <w:t>ið 10 til 15% af heildareinkunn</w:t>
      </w:r>
      <w:r w:rsidRPr="00DD1129">
        <w:t>.</w:t>
      </w:r>
    </w:p>
    <w:p w:rsidR="006C5090" w:rsidRDefault="006C5090">
      <w:pPr>
        <w:spacing w:after="200"/>
      </w:pPr>
      <w:r>
        <w:br w:type="page"/>
      </w:r>
    </w:p>
    <w:p w:rsidR="007566D8" w:rsidRPr="00F51B15" w:rsidRDefault="00F404FF" w:rsidP="00F51B15">
      <w:pPr>
        <w:pStyle w:val="Heading1"/>
      </w:pPr>
      <w:r>
        <w:lastRenderedPageBreak/>
        <w:t>Helstu umhverfisáhrif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AC0667" w:rsidRPr="00A53FC8" w:rsidTr="00AC0667">
        <w:tc>
          <w:tcPr>
            <w:tcW w:w="7072" w:type="dxa"/>
          </w:tcPr>
          <w:p w:rsidR="00AC0667" w:rsidRPr="00A53FC8" w:rsidRDefault="00AC0667" w:rsidP="00AC0667">
            <w:pPr>
              <w:rPr>
                <w:b/>
              </w:rPr>
            </w:pPr>
            <w:r w:rsidRPr="00A53FC8">
              <w:rPr>
                <w:b/>
              </w:rPr>
              <w:t>Helstu umhverfisáhrif</w:t>
            </w:r>
          </w:p>
        </w:tc>
        <w:tc>
          <w:tcPr>
            <w:tcW w:w="7072" w:type="dxa"/>
          </w:tcPr>
          <w:p w:rsidR="00AC0667" w:rsidRPr="00A53FC8" w:rsidRDefault="00AC0667" w:rsidP="00AC0667">
            <w:pPr>
              <w:rPr>
                <w:b/>
              </w:rPr>
            </w:pPr>
            <w:r w:rsidRPr="00A53FC8">
              <w:rPr>
                <w:b/>
              </w:rPr>
              <w:t>Nálgun (GPP)</w:t>
            </w:r>
          </w:p>
        </w:tc>
      </w:tr>
      <w:tr w:rsidR="00AC0667" w:rsidTr="00AC0667">
        <w:tc>
          <w:tcPr>
            <w:tcW w:w="7072" w:type="dxa"/>
          </w:tcPr>
          <w:p w:rsidR="00CB6B64" w:rsidRPr="00CF75BB" w:rsidRDefault="00CB6B64" w:rsidP="00F934B8">
            <w:pPr>
              <w:pStyle w:val="ListParagraph"/>
              <w:numPr>
                <w:ilvl w:val="0"/>
                <w:numId w:val="33"/>
              </w:numPr>
            </w:pPr>
            <w:r w:rsidRPr="001420CE">
              <w:t>Loftmengun, ósonmyndun, uppsöfnun þrávirkra efn</w:t>
            </w:r>
            <w:r w:rsidR="006C5090">
              <w:t>a</w:t>
            </w:r>
            <w:r w:rsidRPr="001420CE">
              <w:t xml:space="preserve"> í lífverum </w:t>
            </w:r>
            <w:r w:rsidR="006C5090">
              <w:t>og</w:t>
            </w:r>
            <w:r w:rsidRPr="001420CE">
              <w:t xml:space="preserve"> fæðukeðjunni</w:t>
            </w:r>
            <w:r w:rsidR="006C5090">
              <w:t xml:space="preserve">  og</w:t>
            </w:r>
            <w:r w:rsidRPr="001420CE">
              <w:t xml:space="preserve"> skaðleg áhrif á vatnalífverur</w:t>
            </w:r>
            <w:r w:rsidR="006C5090">
              <w:t xml:space="preserve"> eða</w:t>
            </w:r>
            <w:r w:rsidRPr="001420CE">
              <w:t xml:space="preserve"> </w:t>
            </w:r>
            <w:r w:rsidR="006C5090">
              <w:t xml:space="preserve">aukning óæskilegra vatnalífvera sem hafa neikvæð </w:t>
            </w:r>
            <w:r w:rsidRPr="001420CE">
              <w:t>áhrif á vatnsgæði vegna óæskilegra</w:t>
            </w:r>
            <w:r w:rsidR="00F934B8">
              <w:t>r</w:t>
            </w:r>
            <w:r w:rsidRPr="001420CE">
              <w:t xml:space="preserve"> not</w:t>
            </w:r>
            <w:r w:rsidR="00F934B8">
              <w:t xml:space="preserve">kunar á </w:t>
            </w:r>
            <w:r w:rsidRPr="001420CE">
              <w:t>sæfiefn</w:t>
            </w:r>
            <w:r w:rsidR="00F934B8">
              <w:t>um</w:t>
            </w:r>
            <w:r w:rsidRPr="001420CE">
              <w:t xml:space="preserve"> og áburð</w:t>
            </w:r>
            <w:r w:rsidR="00F934B8">
              <w:t>i</w:t>
            </w:r>
            <w:r w:rsidRPr="001420CE">
              <w:t xml:space="preserve"> </w:t>
            </w:r>
            <w:r w:rsidRPr="00CF75BB">
              <w:t xml:space="preserve">við framleiðslu á textíltrefjum og efnanotkunar við framleiðslu á vefnaðarvörum. </w:t>
            </w:r>
          </w:p>
          <w:p w:rsidR="00C824F6" w:rsidRPr="006C5090" w:rsidRDefault="00CB6B64" w:rsidP="00F934B8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sz w:val="22"/>
              </w:rPr>
            </w:pPr>
            <w:r w:rsidRPr="00CF75BB">
              <w:t xml:space="preserve">Neikvæð </w:t>
            </w:r>
            <w:r w:rsidR="006C5090">
              <w:t xml:space="preserve">áhrif á </w:t>
            </w:r>
            <w:r w:rsidRPr="00CF75BB">
              <w:t>heilsu og vinnuumhverfi</w:t>
            </w:r>
            <w:r w:rsidR="000A0A53">
              <w:t xml:space="preserve"> vegna leifa af skaðlegum efnum</w:t>
            </w:r>
            <w:r w:rsidRPr="00CF75BB">
              <w:t>.</w:t>
            </w:r>
          </w:p>
          <w:p w:rsidR="00AC0667" w:rsidRPr="006C5090" w:rsidRDefault="00E64E9A" w:rsidP="006C5090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sz w:val="22"/>
              </w:rPr>
            </w:pPr>
            <w:r>
              <w:t>Komið er í veg fyrir ótímabæra úreldingu og sóun með því að hvetja til notkunar textíla sem halda stærð og lit.</w:t>
            </w:r>
          </w:p>
          <w:p w:rsidR="006C5090" w:rsidRPr="006C5090" w:rsidRDefault="006C5090" w:rsidP="006C5090">
            <w:pPr>
              <w:pStyle w:val="ListParagraph"/>
              <w:rPr>
                <w:rFonts w:cs="Times New Roman"/>
                <w:sz w:val="22"/>
              </w:rPr>
            </w:pPr>
          </w:p>
        </w:tc>
        <w:tc>
          <w:tcPr>
            <w:tcW w:w="7072" w:type="dxa"/>
          </w:tcPr>
          <w:p w:rsidR="00CB6B64" w:rsidRPr="00BA1436" w:rsidRDefault="00CB6B64" w:rsidP="00F934B8">
            <w:pPr>
              <w:pStyle w:val="ListParagraph"/>
              <w:numPr>
                <w:ilvl w:val="0"/>
                <w:numId w:val="32"/>
              </w:numPr>
            </w:pPr>
            <w:r w:rsidRPr="00BA1436">
              <w:t>Kaupa lífrænt ræktaðar vefnaðarvörur</w:t>
            </w:r>
          </w:p>
          <w:p w:rsidR="00CB6B64" w:rsidRPr="00BA1436" w:rsidRDefault="00CB6B64" w:rsidP="00F934B8">
            <w:pPr>
              <w:pStyle w:val="ListParagraph"/>
              <w:numPr>
                <w:ilvl w:val="0"/>
                <w:numId w:val="32"/>
              </w:numPr>
            </w:pPr>
            <w:r w:rsidRPr="00BA1436">
              <w:t>Kaupa vefnaðarvörur sem er hægt að endurvinna eða innihalda endurunnar trefjar</w:t>
            </w:r>
          </w:p>
          <w:p w:rsidR="00CB6B64" w:rsidRPr="00BA1436" w:rsidRDefault="00CB6B64" w:rsidP="00F934B8">
            <w:pPr>
              <w:pStyle w:val="ListParagraph"/>
              <w:numPr>
                <w:ilvl w:val="0"/>
                <w:numId w:val="32"/>
              </w:numPr>
            </w:pPr>
            <w:r w:rsidRPr="00BA1436">
              <w:t>Kaupa vefnaðarvörur sem hafa verið framleiddar án mikillar notkunar skaðlegra efna</w:t>
            </w:r>
          </w:p>
          <w:p w:rsidR="00CB6B64" w:rsidRPr="00F934B8" w:rsidRDefault="00CB6B64" w:rsidP="00F934B8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 w:val="22"/>
              </w:rPr>
            </w:pPr>
            <w:r w:rsidRPr="00BA1436">
              <w:t>Kaupa vefnaðarvörur sem innihalda lítið magn skaðlegra efna.</w:t>
            </w:r>
          </w:p>
          <w:p w:rsidR="00AC0667" w:rsidRPr="00F934B8" w:rsidRDefault="00CF75BB" w:rsidP="006C5090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 w:val="22"/>
              </w:rPr>
            </w:pPr>
            <w:r w:rsidRPr="00BA1436">
              <w:t xml:space="preserve">Kaupa vefnaðarvörur sem uppfylla lágmarkskröfur um </w:t>
            </w:r>
            <w:r w:rsidR="000566E2">
              <w:t>heldni</w:t>
            </w:r>
            <w:r w:rsidR="006C5090">
              <w:t xml:space="preserve"> á lit</w:t>
            </w:r>
            <w:r w:rsidRPr="00BA1436">
              <w:t xml:space="preserve"> og </w:t>
            </w:r>
            <w:r w:rsidR="006C5090">
              <w:t>stærð</w:t>
            </w:r>
            <w:r w:rsidRPr="00BA1436">
              <w:t xml:space="preserve">. </w:t>
            </w:r>
          </w:p>
        </w:tc>
      </w:tr>
    </w:tbl>
    <w:p w:rsidR="00AC0667" w:rsidRDefault="00AC0667">
      <w:pPr>
        <w:spacing w:after="200"/>
        <w:rPr>
          <w:rFonts w:eastAsiaTheme="majorEastAsia" w:cstheme="majorBidi"/>
          <w:b/>
          <w:bCs/>
          <w:smallCaps/>
          <w:sz w:val="32"/>
          <w:szCs w:val="28"/>
        </w:rPr>
      </w:pPr>
      <w:r>
        <w:br w:type="page"/>
      </w:r>
    </w:p>
    <w:p w:rsidR="00F404FF" w:rsidRDefault="00F404FF" w:rsidP="00F404FF">
      <w:pPr>
        <w:pStyle w:val="Heading1"/>
      </w:pPr>
      <w:r>
        <w:lastRenderedPageBreak/>
        <w:t>V</w:t>
      </w:r>
      <w:r w:rsidR="00AC0667">
        <w:t>efnaðarvörur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304"/>
        <w:gridCol w:w="2304"/>
        <w:gridCol w:w="2304"/>
      </w:tblGrid>
      <w:tr w:rsidR="00AC0667" w:rsidTr="00AC0667">
        <w:tc>
          <w:tcPr>
            <w:tcW w:w="7308" w:type="dxa"/>
            <w:gridSpan w:val="3"/>
            <w:shd w:val="clear" w:color="auto" w:fill="FFFF00"/>
          </w:tcPr>
          <w:p w:rsidR="00AC0667" w:rsidRDefault="00AC0667" w:rsidP="00AC0667">
            <w:pPr>
              <w:pStyle w:val="Titill"/>
            </w:pPr>
            <w:r>
              <w:t>Grunnviðmið</w:t>
            </w:r>
          </w:p>
        </w:tc>
        <w:tc>
          <w:tcPr>
            <w:tcW w:w="6912" w:type="dxa"/>
            <w:gridSpan w:val="3"/>
            <w:shd w:val="clear" w:color="auto" w:fill="FFFF00"/>
          </w:tcPr>
          <w:p w:rsidR="00AC0667" w:rsidRDefault="00AC0667" w:rsidP="00AC0667">
            <w:pPr>
              <w:pStyle w:val="Titill"/>
            </w:pPr>
            <w:r>
              <w:t>Ítarlegri viðmið</w:t>
            </w:r>
          </w:p>
        </w:tc>
      </w:tr>
      <w:tr w:rsidR="00AC0667" w:rsidRPr="00BD1C8D" w:rsidTr="00AC0667">
        <w:tc>
          <w:tcPr>
            <w:tcW w:w="7308" w:type="dxa"/>
            <w:gridSpan w:val="3"/>
            <w:shd w:val="clear" w:color="auto" w:fill="92D050"/>
          </w:tcPr>
          <w:p w:rsidR="00AC0667" w:rsidRPr="00BD1C8D" w:rsidRDefault="00AC0667" w:rsidP="00AC0667">
            <w:pPr>
              <w:rPr>
                <w:b/>
              </w:rPr>
            </w:pPr>
            <w:r>
              <w:rPr>
                <w:b/>
              </w:rPr>
              <w:t>Lágmarksskilyrði</w:t>
            </w:r>
          </w:p>
        </w:tc>
        <w:tc>
          <w:tcPr>
            <w:tcW w:w="6912" w:type="dxa"/>
            <w:gridSpan w:val="3"/>
            <w:shd w:val="clear" w:color="auto" w:fill="92D050"/>
          </w:tcPr>
          <w:p w:rsidR="00AC0667" w:rsidRPr="00BD1C8D" w:rsidRDefault="00AC0667" w:rsidP="00AC0667">
            <w:pPr>
              <w:rPr>
                <w:b/>
              </w:rPr>
            </w:pPr>
            <w:r>
              <w:rPr>
                <w:b/>
              </w:rPr>
              <w:t>Lágmarksskilyrði</w:t>
            </w:r>
          </w:p>
        </w:tc>
      </w:tr>
      <w:tr w:rsidR="00CB6B64" w:rsidRPr="007D4DC0" w:rsidTr="00AC0667">
        <w:tc>
          <w:tcPr>
            <w:tcW w:w="7308" w:type="dxa"/>
            <w:gridSpan w:val="3"/>
          </w:tcPr>
          <w:p w:rsidR="005133D0" w:rsidRDefault="005133D0" w:rsidP="005133D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</w:pPr>
            <w:r>
              <w:rPr>
                <w:b/>
              </w:rPr>
              <w:t>Varnarefni</w:t>
            </w:r>
          </w:p>
          <w:p w:rsidR="00CB6B64" w:rsidRPr="00C66859" w:rsidRDefault="00CB6B64" w:rsidP="005133D0">
            <w:pPr>
              <w:widowControl w:val="0"/>
              <w:autoSpaceDE w:val="0"/>
              <w:autoSpaceDN w:val="0"/>
              <w:adjustRightInd w:val="0"/>
              <w:spacing w:before="120"/>
              <w:ind w:left="360"/>
            </w:pPr>
            <w:r w:rsidRPr="00C66859">
              <w:t xml:space="preserve">Af vörum sem </w:t>
            </w:r>
            <w:r w:rsidR="00C66859" w:rsidRPr="00C66859">
              <w:t>unnar</w:t>
            </w:r>
            <w:r w:rsidRPr="00C66859">
              <w:t xml:space="preserve"> eru úr b</w:t>
            </w:r>
            <w:r w:rsidR="00C66859" w:rsidRPr="00C66859">
              <w:t>ómull</w:t>
            </w:r>
            <w:r w:rsidRPr="00C66859">
              <w:t xml:space="preserve"> eða öðrum náttúrlegum </w:t>
            </w:r>
            <w:r w:rsidR="00E64E9A">
              <w:t>beðmistrefjum (e. cellulosic fibres)</w:t>
            </w:r>
            <w:r w:rsidRPr="00C66859">
              <w:t xml:space="preserve">, skal fullunnin vara ekki innihalda meira en 0,05 ppm (e. parts per million) </w:t>
            </w:r>
            <w:r w:rsidR="00E64E9A">
              <w:t>af hverju</w:t>
            </w:r>
            <w:r w:rsidRPr="00C66859">
              <w:t xml:space="preserve"> neðangreindra efna. H</w:t>
            </w:r>
            <w:r w:rsidR="00BA1436" w:rsidRPr="00C66859">
              <w:t>eildarmagn</w:t>
            </w:r>
            <w:r w:rsidRPr="00C66859">
              <w:t xml:space="preserve"> eftirtalinna varnarefna skal ekki vera meira en 0,75 ppm: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2,4,5-T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Aldrin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Captafol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Chlordane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Chlordimeform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DDT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Dieldrin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Dinoseb and salts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Endrine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Heptachlor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Hexachlorobenzene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Hexachlorcyclohexane, α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Hexachlorcyclohexane, β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Hexachlorcyclohexane, δ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Metamidophos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Monocrotophos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Parathion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Parathion-methyl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Propethamphos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Toxaphene</w:t>
            </w:r>
          </w:p>
          <w:p w:rsidR="00CB6B64" w:rsidRPr="00FA6E50" w:rsidRDefault="00CB6B64" w:rsidP="00CB6B6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CB6B64">
              <w:rPr>
                <w:b/>
              </w:rPr>
              <w:t>Staðfesting</w:t>
            </w:r>
            <w:r>
              <w:t xml:space="preserve">: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 xml:space="preserve">sem staðfesta </w:t>
            </w:r>
            <w:r>
              <w:t xml:space="preserve"> að viðmið hafi verið uppfyllt.</w:t>
            </w:r>
          </w:p>
        </w:tc>
        <w:tc>
          <w:tcPr>
            <w:tcW w:w="6912" w:type="dxa"/>
            <w:gridSpan w:val="3"/>
          </w:tcPr>
          <w:p w:rsidR="005133D0" w:rsidRPr="005133D0" w:rsidRDefault="00CB6B64" w:rsidP="005133D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5133D0">
              <w:rPr>
                <w:b/>
              </w:rPr>
              <w:t>Varnarefni</w:t>
            </w:r>
          </w:p>
          <w:p w:rsidR="00CB6B64" w:rsidRDefault="00CB6B64" w:rsidP="005133D0">
            <w:pPr>
              <w:widowControl w:val="0"/>
              <w:autoSpaceDE w:val="0"/>
              <w:autoSpaceDN w:val="0"/>
              <w:adjustRightInd w:val="0"/>
              <w:spacing w:before="120"/>
              <w:ind w:left="360"/>
            </w:pPr>
            <w:r w:rsidRPr="00C66859">
              <w:t xml:space="preserve">Af vörum sem </w:t>
            </w:r>
            <w:r w:rsidR="00C66859" w:rsidRPr="00C66859">
              <w:t>unnar</w:t>
            </w:r>
            <w:r w:rsidRPr="00C66859">
              <w:t xml:space="preserve"> eru úr b</w:t>
            </w:r>
            <w:r w:rsidR="00C66859" w:rsidRPr="00C66859">
              <w:t>ómull</w:t>
            </w:r>
            <w:r w:rsidRPr="00C66859">
              <w:t xml:space="preserve"> eða öðrum náttúrlegum </w:t>
            </w:r>
            <w:r w:rsidR="00361B7A">
              <w:t>beðmistrefjum (e. cellulosic fibres</w:t>
            </w:r>
            <w:r w:rsidR="00361B7A">
              <w:t>)</w:t>
            </w:r>
            <w:r w:rsidRPr="00C66859">
              <w:t xml:space="preserve">, skal fullunnin vara ekki innihalda meira en </w:t>
            </w:r>
            <w:r w:rsidR="005133D0" w:rsidRPr="00C66859">
              <w:t>0,05 ppm (e. parts per million) fyrir hvert neðangreindra efna. H</w:t>
            </w:r>
            <w:r w:rsidR="00BA1436" w:rsidRPr="00C66859">
              <w:t>eildarmagn</w:t>
            </w:r>
            <w:r w:rsidR="005133D0" w:rsidRPr="00C66859">
              <w:t xml:space="preserve"> eftirtalinna varnarefna skal ekki vera meira en 0,5 ppm</w:t>
            </w:r>
            <w:r w:rsidRPr="00882C6E">
              <w:t>: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2,4,5-T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Aldrin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Captafol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Chlordane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Chlordimeform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DDT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Dieldrin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Dinoseb and salts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Endrine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Heptachlor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Hexachlorobenzene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Hexachlorcyclohexane, α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Hexachlorcyclohexane, β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Hexachlorcyclohexane, δ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Metamidophos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Monocrotophos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Parathion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Parathion-methyl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Propethamphos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</w:pPr>
            <w:r w:rsidRPr="005133D0">
              <w:t>Toxaphene</w:t>
            </w:r>
          </w:p>
          <w:p w:rsidR="00CB6B64" w:rsidRDefault="00CB6B64" w:rsidP="00CB6B64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>Fyrir vörur sem unnar eru úr ullartrefjum, skal endanleg vara ekki innihalda meira en tilgreint magn fyrir eftirtalin efni:</w:t>
            </w:r>
          </w:p>
          <w:p w:rsidR="00CB6B64" w:rsidRDefault="00CB6B64" w:rsidP="00CB6B64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 xml:space="preserve">Heildarmagn eftirtalinna varnarefna skal ekki vera meira en </w:t>
            </w:r>
            <w:r w:rsidRPr="00D648E3">
              <w:t>0,5 ppm</w:t>
            </w:r>
            <w:r>
              <w:t>:</w:t>
            </w:r>
          </w:p>
          <w:p w:rsidR="00CB6B64" w:rsidRDefault="004E380E" w:rsidP="005133D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</w:pPr>
            <w:r w:rsidRPr="00D648E3">
              <w:t>γ</w:t>
            </w:r>
            <w:r>
              <w:t>-</w:t>
            </w:r>
            <w:r w:rsidRPr="002F4677">
              <w:t>hexa</w:t>
            </w:r>
            <w:r w:rsidR="00C66859">
              <w:t>chlorocylco</w:t>
            </w:r>
            <w:r w:rsidRPr="002F4677">
              <w:t>hexan</w:t>
            </w:r>
            <w:r w:rsidR="00C66859">
              <w:t>e</w:t>
            </w:r>
            <w:r>
              <w:t xml:space="preserve"> (lindane),</w:t>
            </w:r>
          </w:p>
          <w:p w:rsidR="004E380E" w:rsidRDefault="004E380E" w:rsidP="005133D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</w:pPr>
            <w:r w:rsidRPr="00D648E3">
              <w:t>α</w:t>
            </w:r>
            <w:r>
              <w:t>-</w:t>
            </w:r>
            <w:r w:rsidR="00C66859" w:rsidRPr="002F4677">
              <w:t>hexa</w:t>
            </w:r>
            <w:r w:rsidR="00C66859">
              <w:t>chlorocylco</w:t>
            </w:r>
            <w:r w:rsidR="00C66859" w:rsidRPr="002F4677">
              <w:t>hexan</w:t>
            </w:r>
            <w:r w:rsidR="00C66859">
              <w:t>e</w:t>
            </w:r>
            <w:r>
              <w:t>,</w:t>
            </w:r>
          </w:p>
          <w:p w:rsidR="004E380E" w:rsidRDefault="004E380E" w:rsidP="005133D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</w:pPr>
            <w:r w:rsidRPr="00D648E3">
              <w:t>β</w:t>
            </w:r>
            <w:r w:rsidR="00C66859">
              <w:t>-</w:t>
            </w:r>
            <w:r w:rsidR="00C66859" w:rsidRPr="002F4677">
              <w:t>hexa</w:t>
            </w:r>
            <w:r w:rsidR="00C66859">
              <w:t>chlorocylco</w:t>
            </w:r>
            <w:r w:rsidR="00C66859" w:rsidRPr="002F4677">
              <w:t>hexan</w:t>
            </w:r>
            <w:r w:rsidR="00C66859">
              <w:t>e</w:t>
            </w:r>
            <w:r>
              <w:t>,</w:t>
            </w:r>
          </w:p>
          <w:p w:rsidR="004E380E" w:rsidRDefault="004E380E" w:rsidP="005133D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</w:pPr>
            <w:r w:rsidRPr="00D648E3">
              <w:t>δ</w:t>
            </w:r>
            <w:r w:rsidR="00D648E3" w:rsidRPr="00D648E3">
              <w:t>-</w:t>
            </w:r>
            <w:r w:rsidR="00C66859" w:rsidRPr="002F4677">
              <w:t>hexa</w:t>
            </w:r>
            <w:r w:rsidR="00C66859">
              <w:t>chlorocylco</w:t>
            </w:r>
            <w:r w:rsidR="00C66859" w:rsidRPr="002F4677">
              <w:t>hexan</w:t>
            </w:r>
            <w:r w:rsidR="00C66859">
              <w:t>e</w:t>
            </w:r>
            <w:r>
              <w:t>,</w:t>
            </w:r>
          </w:p>
          <w:p w:rsidR="004E380E" w:rsidRDefault="00D648E3" w:rsidP="005133D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</w:pPr>
            <w:r>
              <w:t>a</w:t>
            </w:r>
            <w:r w:rsidR="004E380E">
              <w:t>ldr</w:t>
            </w:r>
            <w:r w:rsidR="00C66859">
              <w:t>i</w:t>
            </w:r>
            <w:r w:rsidR="004E380E">
              <w:t>n,</w:t>
            </w:r>
          </w:p>
          <w:p w:rsidR="004E380E" w:rsidRDefault="00D648E3" w:rsidP="005133D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</w:pPr>
            <w:r>
              <w:t>d</w:t>
            </w:r>
            <w:r w:rsidR="00C66859">
              <w:t>i</w:t>
            </w:r>
            <w:r w:rsidR="004E380E">
              <w:t>eldr</w:t>
            </w:r>
            <w:r w:rsidR="00C66859">
              <w:t>i</w:t>
            </w:r>
            <w:r w:rsidR="004E380E">
              <w:t>n,</w:t>
            </w:r>
          </w:p>
          <w:p w:rsidR="004E380E" w:rsidRDefault="00D648E3" w:rsidP="005133D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</w:pPr>
            <w:r>
              <w:t>e</w:t>
            </w:r>
            <w:r w:rsidR="00C66859">
              <w:t>ndri</w:t>
            </w:r>
            <w:r w:rsidR="004E380E">
              <w:t>n,</w:t>
            </w:r>
          </w:p>
          <w:p w:rsidR="004E380E" w:rsidRDefault="004E380E" w:rsidP="005133D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</w:pPr>
            <w:r>
              <w:t>p,p‘-DDT</w:t>
            </w:r>
          </w:p>
          <w:p w:rsidR="004E380E" w:rsidRDefault="004E380E" w:rsidP="005133D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</w:pPr>
            <w:r>
              <w:t>p,p‘-DDD</w:t>
            </w:r>
          </w:p>
          <w:p w:rsidR="00D648E3" w:rsidRDefault="00D648E3" w:rsidP="00D648E3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</w:pPr>
          </w:p>
          <w:p w:rsidR="00D648E3" w:rsidRDefault="00D648E3" w:rsidP="00D648E3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 xml:space="preserve">Heildarmagn eftirtalinna varnarefna skal ekki vera meira en </w:t>
            </w:r>
            <w:r w:rsidRPr="00D648E3">
              <w:t>2 ppm</w:t>
            </w:r>
            <w:r>
              <w:t>:</w:t>
            </w:r>
          </w:p>
          <w:p w:rsidR="00D648E3" w:rsidRDefault="00D648E3" w:rsidP="00D648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>
              <w:t>d</w:t>
            </w:r>
            <w:r w:rsidR="00C66859">
              <w:t>i</w:t>
            </w:r>
            <w:r>
              <w:t>azinon</w:t>
            </w:r>
          </w:p>
          <w:p w:rsidR="00D648E3" w:rsidRDefault="00D648E3" w:rsidP="00D648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 w:rsidRPr="002F4677">
              <w:t>propethamphos</w:t>
            </w:r>
          </w:p>
          <w:p w:rsidR="00D648E3" w:rsidRPr="00D648E3" w:rsidRDefault="00D648E3" w:rsidP="00D648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 w:rsidRPr="00D648E3">
              <w:t>chlorfenvinphos,</w:t>
            </w:r>
          </w:p>
          <w:p w:rsidR="00D648E3" w:rsidRPr="00D648E3" w:rsidRDefault="00D648E3" w:rsidP="00D648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 w:rsidRPr="00D648E3">
              <w:t>dichlorfenthion,</w:t>
            </w:r>
          </w:p>
          <w:p w:rsidR="00D648E3" w:rsidRPr="00D648E3" w:rsidRDefault="00D648E3" w:rsidP="00D648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 w:rsidRPr="00D648E3">
              <w:t>chlorpyriphos,</w:t>
            </w:r>
          </w:p>
          <w:p w:rsidR="00D648E3" w:rsidRPr="00D648E3" w:rsidRDefault="00D648E3" w:rsidP="00D648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 w:rsidRPr="00D648E3">
              <w:t>fenchlorphosq,</w:t>
            </w:r>
          </w:p>
          <w:p w:rsidR="00D648E3" w:rsidRPr="00D648E3" w:rsidRDefault="00D648E3" w:rsidP="00D648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 w:rsidRPr="00D648E3">
              <w:t>ethion,</w:t>
            </w:r>
          </w:p>
          <w:p w:rsidR="00D648E3" w:rsidRPr="00EB1E8B" w:rsidRDefault="00D648E3" w:rsidP="00D648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 w:rsidRPr="00D648E3">
              <w:t>pirimphos-methyl.</w:t>
            </w:r>
          </w:p>
          <w:p w:rsidR="00D648E3" w:rsidRPr="00D648E3" w:rsidRDefault="00D648E3" w:rsidP="00D648E3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>Heildarmagn eftirtalinna varnarefna skal ekki vera meira en 0,5</w:t>
            </w:r>
            <w:r w:rsidRPr="00D648E3">
              <w:t xml:space="preserve"> ppm</w:t>
            </w:r>
            <w:r>
              <w:t>:</w:t>
            </w:r>
          </w:p>
          <w:p w:rsidR="00D648E3" w:rsidRPr="00D648E3" w:rsidRDefault="00D648E3" w:rsidP="00D648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 w:rsidRPr="00D648E3">
              <w:t>cypermethrin,</w:t>
            </w:r>
          </w:p>
          <w:p w:rsidR="00D648E3" w:rsidRPr="00D648E3" w:rsidRDefault="00D648E3" w:rsidP="00D648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 w:rsidRPr="00D648E3">
              <w:t>deltamethrin,</w:t>
            </w:r>
          </w:p>
          <w:p w:rsidR="00D648E3" w:rsidRPr="00D648E3" w:rsidRDefault="00D648E3" w:rsidP="00D648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 w:rsidRPr="00D648E3">
              <w:t>fenvalerate,</w:t>
            </w:r>
          </w:p>
          <w:p w:rsidR="00D648E3" w:rsidRPr="00D648E3" w:rsidRDefault="00D648E3" w:rsidP="00D648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 w:rsidRPr="00D648E3">
              <w:t>cyhalothrin,</w:t>
            </w:r>
          </w:p>
          <w:p w:rsidR="00D648E3" w:rsidRDefault="00D648E3" w:rsidP="00D648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 w:rsidRPr="00D648E3">
              <w:t>flumethrin.</w:t>
            </w:r>
          </w:p>
          <w:p w:rsidR="00D648E3" w:rsidRPr="00D648E3" w:rsidRDefault="00D648E3" w:rsidP="00D648E3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</w:pPr>
          </w:p>
          <w:p w:rsidR="00D648E3" w:rsidRDefault="00D648E3" w:rsidP="00D648E3">
            <w:pPr>
              <w:autoSpaceDE w:val="0"/>
              <w:autoSpaceDN w:val="0"/>
              <w:adjustRightInd w:val="0"/>
              <w:spacing w:after="0"/>
            </w:pPr>
            <w:r>
              <w:t>Heildarmagn eftirtalinna varnarefna skal ekki vera meira en 2</w:t>
            </w:r>
            <w:r w:rsidRPr="00D648E3">
              <w:t xml:space="preserve"> ppm</w:t>
            </w:r>
            <w:r>
              <w:t>:</w:t>
            </w:r>
          </w:p>
          <w:p w:rsidR="00D648E3" w:rsidRDefault="00D648E3" w:rsidP="00D648E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  <w:p w:rsidR="00D648E3" w:rsidRPr="00D648E3" w:rsidRDefault="00D648E3" w:rsidP="00D648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 w:rsidRPr="00D648E3">
              <w:t>diflubenzuron,</w:t>
            </w:r>
          </w:p>
          <w:p w:rsidR="00D648E3" w:rsidRPr="00D648E3" w:rsidRDefault="00D648E3" w:rsidP="00D648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 w:rsidRPr="00D648E3">
              <w:t>triflumuron,</w:t>
            </w:r>
          </w:p>
          <w:p w:rsidR="00D648E3" w:rsidRPr="00D648E3" w:rsidRDefault="00D648E3" w:rsidP="00D648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 w:rsidRPr="00D648E3">
              <w:t>dicyclanil.</w:t>
            </w:r>
          </w:p>
          <w:p w:rsidR="00D648E3" w:rsidRDefault="00D648E3" w:rsidP="00D648E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 w:val="22"/>
              </w:rPr>
            </w:pPr>
          </w:p>
          <w:p w:rsidR="00D648E3" w:rsidRPr="00D648E3" w:rsidRDefault="00D648E3" w:rsidP="00D648E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CB6B64">
              <w:rPr>
                <w:b/>
              </w:rPr>
              <w:t>Staðfesting</w:t>
            </w:r>
            <w:r>
              <w:rPr>
                <w:b/>
              </w:rPr>
              <w:t>: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 xml:space="preserve">sem staðfesta </w:t>
            </w:r>
            <w:r>
              <w:t xml:space="preserve"> að viðmið hafi verið uppfyllt.</w:t>
            </w:r>
          </w:p>
        </w:tc>
      </w:tr>
      <w:tr w:rsidR="00AC0667" w:rsidRPr="00BD1C8D" w:rsidTr="00AC0667">
        <w:tc>
          <w:tcPr>
            <w:tcW w:w="7308" w:type="dxa"/>
            <w:gridSpan w:val="3"/>
          </w:tcPr>
          <w:p w:rsidR="005133D0" w:rsidRPr="005133D0" w:rsidRDefault="005133D0" w:rsidP="005133D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5133D0">
              <w:rPr>
                <w:b/>
              </w:rPr>
              <w:t>Litarefni</w:t>
            </w:r>
          </w:p>
          <w:p w:rsidR="005133D0" w:rsidRPr="00882C6E" w:rsidRDefault="005133D0" w:rsidP="00C66859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133D0">
              <w:t>Litarefni</w:t>
            </w:r>
            <w:r w:rsidRPr="00882C6E">
              <w:t xml:space="preserve"> sem flokkast sem ertandi/ofnæmisvaldandi, krabbameinsvaldandi, stökkbreytivaldandi eða </w:t>
            </w:r>
            <w:r w:rsidR="000779BE">
              <w:t xml:space="preserve">sem </w:t>
            </w:r>
            <w:r w:rsidRPr="00882C6E">
              <w:t xml:space="preserve">geta valdið </w:t>
            </w:r>
            <w:r w:rsidR="000779BE">
              <w:t>skaðlegum áhrifum á æxlun.</w:t>
            </w:r>
            <w:r w:rsidRPr="00882C6E">
              <w:t xml:space="preserve"> Eftirtalin litarefni skal ekki nota í fullunn</w:t>
            </w:r>
            <w:r>
              <w:t>a</w:t>
            </w:r>
            <w:r w:rsidRPr="00882C6E">
              <w:t xml:space="preserve"> vöru: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C.I. Basic Red 9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Blue 1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C.I. Acid Red 26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C.I. Basic Violet 14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Orange 11</w:t>
            </w:r>
          </w:p>
          <w:p w:rsidR="005133D0" w:rsidRDefault="005133D0" w:rsidP="005133D0">
            <w:pPr>
              <w:pStyle w:val="ListParagraph"/>
              <w:numPr>
                <w:ilvl w:val="0"/>
                <w:numId w:val="17"/>
              </w:numPr>
            </w:pPr>
            <w:r w:rsidRPr="005133D0">
              <w:t>C. I. Direct Black 38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</w:pPr>
            <w:r>
              <w:t>C</w:t>
            </w:r>
            <w:r w:rsidRPr="005133D0">
              <w:t>. I. Direct Blue 6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 I. Direct Red 28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 I. Disperse Yellow 3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Yellow 23</w:t>
            </w:r>
          </w:p>
          <w:p w:rsid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Yellow 149</w:t>
            </w:r>
          </w:p>
          <w:p w:rsidR="00C66859" w:rsidRPr="005133D0" w:rsidRDefault="00C66859" w:rsidP="00C66859">
            <w:pPr>
              <w:pStyle w:val="ListParagraph"/>
              <w:autoSpaceDE w:val="0"/>
              <w:autoSpaceDN w:val="0"/>
              <w:adjustRightInd w:val="0"/>
              <w:spacing w:after="0"/>
            </w:pPr>
          </w:p>
          <w:p w:rsidR="005133D0" w:rsidRDefault="00BA1436" w:rsidP="005133D0">
            <w:pPr>
              <w:autoSpaceDE w:val="0"/>
              <w:autoSpaceDN w:val="0"/>
              <w:adjustRightInd w:val="0"/>
              <w:spacing w:after="0"/>
            </w:pPr>
            <w:r w:rsidRPr="00C7570D">
              <w:t>Eftirfarandi l</w:t>
            </w:r>
            <w:r w:rsidR="000566E2">
              <w:t xml:space="preserve">itefni skal aðeins nota ef </w:t>
            </w:r>
            <w:r w:rsidR="000779BE">
              <w:t xml:space="preserve">heldni </w:t>
            </w:r>
            <w:r w:rsidR="000566E2">
              <w:t xml:space="preserve">gagnvart </w:t>
            </w:r>
            <w:r w:rsidRPr="00C7570D">
              <w:t xml:space="preserve">svita (súr og basískur) </w:t>
            </w:r>
            <w:r w:rsidR="000566E2">
              <w:t>í lituðum trefjum, garni og vefnaði</w:t>
            </w:r>
            <w:r w:rsidR="00C7570D" w:rsidRPr="00C7570D">
              <w:t xml:space="preserve"> er að minnsta kosti 4</w:t>
            </w:r>
            <w:r w:rsidR="005133D0" w:rsidRPr="00C7570D">
              <w:t>:</w:t>
            </w:r>
          </w:p>
          <w:p w:rsidR="00C66859" w:rsidRPr="005133D0" w:rsidRDefault="00C66859" w:rsidP="005133D0">
            <w:pPr>
              <w:autoSpaceDE w:val="0"/>
              <w:autoSpaceDN w:val="0"/>
              <w:adjustRightInd w:val="0"/>
              <w:spacing w:after="0"/>
            </w:pP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Blue 3 C.I. 61 505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Blue 7 C.I. 62 500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Blue 26 C.I. 63 305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Blue 35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Blue 102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Blue 106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Blue 124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Orange 1 C.I. 11 080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Orange 3 C.I. 11 005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Orange 37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Orange 76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(previously designated Orange 37)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Red 1 C.I. 11 110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Red 11 C.I. 62 015</w:t>
            </w:r>
          </w:p>
          <w:p w:rsidR="005133D0" w:rsidRDefault="005133D0" w:rsidP="005133D0">
            <w:pPr>
              <w:pStyle w:val="ListParagraph"/>
              <w:numPr>
                <w:ilvl w:val="0"/>
                <w:numId w:val="18"/>
              </w:numPr>
            </w:pPr>
            <w:r w:rsidRPr="005133D0">
              <w:t>C.I. Disperse Red 17 C.I. 11 210</w:t>
            </w:r>
          </w:p>
          <w:p w:rsidR="005133D0" w:rsidRDefault="005133D0" w:rsidP="005133D0">
            <w:pPr>
              <w:pStyle w:val="ListParagraph"/>
              <w:numPr>
                <w:ilvl w:val="0"/>
                <w:numId w:val="18"/>
              </w:numPr>
            </w:pPr>
            <w:r>
              <w:t>C</w:t>
            </w:r>
            <w:r w:rsidRPr="005133D0">
              <w:t>.I</w:t>
            </w:r>
            <w:r>
              <w:t>. Disperse Yellow 1 C.I. 10 345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</w:pPr>
            <w:r w:rsidRPr="005133D0">
              <w:t>C.I. Disperse Yellow 9 C.I. 10 375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Yellow 39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Yellow 49</w:t>
            </w:r>
          </w:p>
          <w:p w:rsidR="005133D0" w:rsidRDefault="005133D0" w:rsidP="005133D0">
            <w:pPr>
              <w:autoSpaceDE w:val="0"/>
              <w:autoSpaceDN w:val="0"/>
              <w:adjustRightInd w:val="0"/>
              <w:spacing w:after="0"/>
            </w:pPr>
          </w:p>
          <w:p w:rsidR="005133D0" w:rsidRPr="00BD1C8D" w:rsidRDefault="005133D0" w:rsidP="005133D0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CB6B64">
              <w:rPr>
                <w:b/>
              </w:rPr>
              <w:t>Staðfesting</w:t>
            </w:r>
            <w:r>
              <w:rPr>
                <w:b/>
              </w:rPr>
              <w:t>: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 xml:space="preserve">sem staðfesta </w:t>
            </w:r>
            <w:r>
              <w:t xml:space="preserve"> að viðmið hafi verið uppfyllt</w:t>
            </w:r>
            <w:r w:rsidRPr="005133D0">
              <w:t>.</w:t>
            </w:r>
          </w:p>
        </w:tc>
        <w:tc>
          <w:tcPr>
            <w:tcW w:w="6912" w:type="dxa"/>
            <w:gridSpan w:val="3"/>
          </w:tcPr>
          <w:p w:rsidR="005133D0" w:rsidRPr="00BA4AA7" w:rsidRDefault="005133D0" w:rsidP="00BA4AA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BA4AA7">
              <w:rPr>
                <w:b/>
              </w:rPr>
              <w:t>Litarefni</w:t>
            </w:r>
          </w:p>
          <w:p w:rsidR="005133D0" w:rsidRPr="00882C6E" w:rsidRDefault="005133D0" w:rsidP="00C66859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133D0">
              <w:t>Litarefni</w:t>
            </w:r>
            <w:r w:rsidRPr="00882C6E">
              <w:t xml:space="preserve"> sem flokkast sem ertandi/ofnæmisvaldandi, krabbameinsvaldandi, stökkbreytivaldandi eða geta valdið </w:t>
            </w:r>
            <w:r w:rsidR="000779BE">
              <w:t>skaðlegum áhrifum á æxlun</w:t>
            </w:r>
            <w:r w:rsidRPr="00882C6E">
              <w:t>. Eftirtalin litarefni skal ekki nota í fullunn</w:t>
            </w:r>
            <w:r>
              <w:t>a</w:t>
            </w:r>
            <w:r w:rsidRPr="00882C6E">
              <w:t xml:space="preserve"> vöru: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C.I. Basic Red 9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Blue 1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C.I. Acid Red 26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C.I. Basic Violet 14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Orange 11</w:t>
            </w:r>
          </w:p>
          <w:p w:rsidR="005133D0" w:rsidRDefault="005133D0" w:rsidP="005133D0">
            <w:pPr>
              <w:pStyle w:val="ListParagraph"/>
              <w:numPr>
                <w:ilvl w:val="0"/>
                <w:numId w:val="17"/>
              </w:numPr>
            </w:pPr>
            <w:r w:rsidRPr="005133D0">
              <w:t>C. I. Direct Black 38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</w:pPr>
            <w:r>
              <w:t>C</w:t>
            </w:r>
            <w:r w:rsidRPr="005133D0">
              <w:t>. I. Direct Blue 6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 I. Direct Red 28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 I. Disperse Yellow 3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Yellow 23</w:t>
            </w:r>
          </w:p>
          <w:p w:rsidR="005133D0" w:rsidRDefault="005133D0" w:rsidP="005133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Yellow 149</w:t>
            </w:r>
          </w:p>
          <w:p w:rsidR="00C66859" w:rsidRPr="005133D0" w:rsidRDefault="00C66859" w:rsidP="00C66859">
            <w:pPr>
              <w:pStyle w:val="ListParagraph"/>
              <w:autoSpaceDE w:val="0"/>
              <w:autoSpaceDN w:val="0"/>
              <w:adjustRightInd w:val="0"/>
              <w:spacing w:after="0"/>
            </w:pPr>
          </w:p>
          <w:p w:rsidR="000566E2" w:rsidRDefault="000566E2" w:rsidP="000566E2">
            <w:pPr>
              <w:autoSpaceDE w:val="0"/>
              <w:autoSpaceDN w:val="0"/>
              <w:adjustRightInd w:val="0"/>
              <w:spacing w:after="0"/>
            </w:pPr>
            <w:r w:rsidRPr="00C7570D">
              <w:t>Eftirfarandi l</w:t>
            </w:r>
            <w:r>
              <w:t xml:space="preserve">itefni skal aðeins nota ef </w:t>
            </w:r>
            <w:r w:rsidR="004B5EA8">
              <w:t>heldni</w:t>
            </w:r>
            <w:r>
              <w:t xml:space="preserve"> gagnvart </w:t>
            </w:r>
            <w:r w:rsidRPr="00C7570D">
              <w:t xml:space="preserve">svita (súr og basískur) </w:t>
            </w:r>
            <w:r>
              <w:t>í lituðum trefjum, garni og vefnaði</w:t>
            </w:r>
            <w:r w:rsidRPr="00C7570D">
              <w:t xml:space="preserve"> er að minnsta kosti 4:</w:t>
            </w:r>
          </w:p>
          <w:p w:rsidR="00C66859" w:rsidRPr="005133D0" w:rsidRDefault="00C66859" w:rsidP="000566E2">
            <w:pPr>
              <w:autoSpaceDE w:val="0"/>
              <w:autoSpaceDN w:val="0"/>
              <w:adjustRightInd w:val="0"/>
              <w:spacing w:after="0"/>
            </w:pP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Blue 3 C.I. 61 505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Blue 7 C.I. 62 500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Blue 26 C.I. 63 305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Blue 35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Blue 102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Blue 106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Blue 124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Orange 1 C.I. 11 080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Orange 3 C.I. 11 005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Orange 37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Orange 76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(previously designated Orange 37)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Red 1 C.I. 11 110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Red 11 C.I. 62 015</w:t>
            </w:r>
          </w:p>
          <w:p w:rsidR="005133D0" w:rsidRDefault="005133D0" w:rsidP="005133D0">
            <w:pPr>
              <w:pStyle w:val="ListParagraph"/>
              <w:numPr>
                <w:ilvl w:val="0"/>
                <w:numId w:val="18"/>
              </w:numPr>
            </w:pPr>
            <w:r w:rsidRPr="005133D0">
              <w:t>C.I. Disperse Red 17 C.I. 11 210</w:t>
            </w:r>
          </w:p>
          <w:p w:rsidR="005133D0" w:rsidRDefault="005133D0" w:rsidP="005133D0">
            <w:pPr>
              <w:pStyle w:val="ListParagraph"/>
              <w:numPr>
                <w:ilvl w:val="0"/>
                <w:numId w:val="18"/>
              </w:numPr>
            </w:pPr>
            <w:r>
              <w:t>C</w:t>
            </w:r>
            <w:r w:rsidRPr="005133D0">
              <w:t>.I</w:t>
            </w:r>
            <w:r>
              <w:t>. Disperse Yellow 1 C.I. 10 345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</w:pPr>
            <w:r w:rsidRPr="005133D0">
              <w:t>C.I. Disperse Yellow 9 C.I. 10 375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Yellow 39</w:t>
            </w:r>
          </w:p>
          <w:p w:rsidR="005133D0" w:rsidRPr="005133D0" w:rsidRDefault="005133D0" w:rsidP="005133D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5133D0">
              <w:t>C.I. Disperse Yellow 49</w:t>
            </w:r>
          </w:p>
          <w:p w:rsidR="005133D0" w:rsidRDefault="005133D0" w:rsidP="005133D0">
            <w:pPr>
              <w:autoSpaceDE w:val="0"/>
              <w:autoSpaceDN w:val="0"/>
              <w:adjustRightInd w:val="0"/>
              <w:spacing w:after="0"/>
            </w:pPr>
          </w:p>
          <w:p w:rsidR="00AC0667" w:rsidRPr="00BD1C8D" w:rsidRDefault="005133D0" w:rsidP="005133D0">
            <w:pPr>
              <w:rPr>
                <w:b/>
              </w:rPr>
            </w:pPr>
            <w:r w:rsidRPr="00CB6B64">
              <w:rPr>
                <w:b/>
              </w:rPr>
              <w:t>Staðfesting</w:t>
            </w:r>
            <w:r>
              <w:rPr>
                <w:b/>
              </w:rPr>
              <w:t>: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 xml:space="preserve">sem staðfesta </w:t>
            </w:r>
            <w:r>
              <w:t xml:space="preserve"> að viðmið hafi verið uppfyllt</w:t>
            </w:r>
            <w:r w:rsidRPr="005133D0">
              <w:t>.</w:t>
            </w:r>
          </w:p>
        </w:tc>
      </w:tr>
      <w:tr w:rsidR="00AC0667" w:rsidRPr="004C02F2" w:rsidTr="00AC0667">
        <w:tc>
          <w:tcPr>
            <w:tcW w:w="7308" w:type="dxa"/>
            <w:gridSpan w:val="3"/>
          </w:tcPr>
          <w:p w:rsidR="00BA4AA7" w:rsidRPr="00BA4AA7" w:rsidRDefault="00BA4AA7" w:rsidP="00BA4AA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</w:pPr>
            <w:r w:rsidRPr="00BA4AA7">
              <w:rPr>
                <w:b/>
              </w:rPr>
              <w:t>Arylamines</w:t>
            </w:r>
          </w:p>
          <w:p w:rsidR="00BA4AA7" w:rsidRDefault="00BA4AA7" w:rsidP="00BA4AA7">
            <w:pPr>
              <w:widowControl w:val="0"/>
              <w:autoSpaceDE w:val="0"/>
              <w:autoSpaceDN w:val="0"/>
              <w:adjustRightInd w:val="0"/>
              <w:spacing w:before="120"/>
              <w:ind w:left="360"/>
            </w:pPr>
            <w:r>
              <w:t>Fullunnin vara skal ekki innihalda eftirtalin arylamines (CAS númer innan sviga):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4-aminodiphenyl (CAS no. 92-67-1)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Benzidine (CAS no. 92-87-5)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4-chloro-o-toluidine (CAS no. 95-69-2)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2-naphthylamine (CAS no. 91-59-8)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o-amino-azotoluene (CAS no. 97-56-3)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2-amino-4-nitrotoluene (CAS no. 99-55-8)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p-chloroaniline (CAS no. 106-47-8)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2,4-diaminoanisol (CAS no. 615-05-4)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4,4’-diaminodiphenylmethane (CAS no. 101-77-9)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3,3’-dichlorobenzidine (CAS no. 91-94-1)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3,3’-dimethoxybenzidine (CAS no. 119-90-4)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3,3’-dimethylbenzidine (CAS no. 119-93-7)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3,3’-dimethyl-4,4’-diaminodiphenylmethane (CAS no. 838-88-0)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p-cresidine (CAS no. 120-71-8)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</w:pPr>
            <w:r w:rsidRPr="00BA4AA7">
              <w:t>4,4’-methylene-bis-(2-chloraniline) (CAS no. 101-14-4)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</w:pPr>
            <w:r w:rsidRPr="00BA4AA7">
              <w:t>4,4’-oxydianiline (CAS no. 101-80-4)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4,4’-thiodianiline (CAS no. 139-65-1)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o-toluidine (CAS no. 95-53-4)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2,4-diaminotoluene (CAS no. 95-80-7)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2,4,5-trimethylaniline (CAS no. 137-17-7)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4-aminoazobenzene (CAS no. 60-09-3)</w:t>
            </w:r>
          </w:p>
          <w:p w:rsid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o-anisidine (CAS no. 90-04-0)</w:t>
            </w:r>
          </w:p>
          <w:p w:rsidR="00BA4AA7" w:rsidRPr="00BA4AA7" w:rsidRDefault="00BA4AA7" w:rsidP="00BA4AA7">
            <w:pPr>
              <w:pStyle w:val="ListParagraph"/>
              <w:autoSpaceDE w:val="0"/>
              <w:autoSpaceDN w:val="0"/>
              <w:adjustRightInd w:val="0"/>
              <w:spacing w:after="0"/>
            </w:pPr>
          </w:p>
          <w:p w:rsidR="00BA4AA7" w:rsidRPr="004C02F2" w:rsidRDefault="00BA4AA7" w:rsidP="00BA4AA7">
            <w:pPr>
              <w:rPr>
                <w:b/>
              </w:rPr>
            </w:pPr>
            <w:r w:rsidRPr="00CB6B64">
              <w:rPr>
                <w:b/>
              </w:rPr>
              <w:t>Staðfesting</w:t>
            </w:r>
            <w:r>
              <w:rPr>
                <w:b/>
              </w:rPr>
              <w:t>: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 xml:space="preserve">sem staðfesta </w:t>
            </w:r>
            <w:r>
              <w:t xml:space="preserve"> að viðmið hafi verið uppfyllt</w:t>
            </w:r>
            <w:r w:rsidRPr="005133D0">
              <w:t>.</w:t>
            </w:r>
          </w:p>
        </w:tc>
        <w:tc>
          <w:tcPr>
            <w:tcW w:w="6912" w:type="dxa"/>
            <w:gridSpan w:val="3"/>
          </w:tcPr>
          <w:p w:rsidR="00BA4AA7" w:rsidRPr="00BA4AA7" w:rsidRDefault="00BA4AA7" w:rsidP="00BA4AA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</w:pPr>
            <w:r w:rsidRPr="00BA4AA7">
              <w:rPr>
                <w:b/>
              </w:rPr>
              <w:t>Arylamines</w:t>
            </w:r>
          </w:p>
          <w:p w:rsidR="00BA4AA7" w:rsidRDefault="00BA4AA7" w:rsidP="00BA4AA7">
            <w:pPr>
              <w:widowControl w:val="0"/>
              <w:autoSpaceDE w:val="0"/>
              <w:autoSpaceDN w:val="0"/>
              <w:adjustRightInd w:val="0"/>
              <w:spacing w:before="120"/>
              <w:ind w:left="360"/>
            </w:pPr>
            <w:r>
              <w:t>Fullunnin vara skal ekki innihalda eftirtalin arylamines (CAS númer innan sviga):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4-aminodiphenyl (CAS no. 92-67-1)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Benzidine (CAS no. 92-87-5)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4-chloro-o-toluidine (CAS no. 95-69-2)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2-naphthylamine (CAS no. 91-59-8)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o-amino-azotoluene (CAS no. 97-56-3)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2-amino-4-nitrotoluene (CAS no. 99-55-8)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p-chloroaniline (CAS no. 106-47-8)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2,4-diaminoanisol (CAS no. 615-05-4)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4,4’-diaminodiphenylmethane (CAS no. 101-77-9)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3,3’-dichlorobenzidine (CAS no. 91-94-1)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3,3’-dimethoxybenzidine (CAS no. 119-90-4)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3,3’-dimethylbenzidine (CAS no. 119-93-7)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3,3’-dimethyl-4,4’-diaminodiphenylmethane (CAS no. 838-88-0)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p-cresidine (CAS no. 120-71-8)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</w:pPr>
            <w:r w:rsidRPr="00BA4AA7">
              <w:t>4,4’-methylene-bis-(2-chloraniline) (CAS no. 101-14-4)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</w:pPr>
            <w:r w:rsidRPr="00BA4AA7">
              <w:t>4,4’-oxydianiline (CAS no. 101-80-4)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4,4’-thiodianiline (CAS no. 139-65-1)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o-toluidine (CAS no. 95-53-4)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2,4-diaminotoluene (CAS no. 95-80-7)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2,4,5-trimethylaniline (CAS no. 137-17-7)</w:t>
            </w:r>
          </w:p>
          <w:p w:rsidR="00BA4AA7" w:rsidRP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4-aminoazobenzene (CAS no. 60-09-3)</w:t>
            </w:r>
          </w:p>
          <w:p w:rsidR="00BA4AA7" w:rsidRDefault="00BA4AA7" w:rsidP="00BA4A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</w:pPr>
            <w:r w:rsidRPr="00BA4AA7">
              <w:t>o-anisidine (CAS no. 90-04-0)</w:t>
            </w:r>
          </w:p>
          <w:p w:rsidR="00BA4AA7" w:rsidRPr="00BA4AA7" w:rsidRDefault="00BA4AA7" w:rsidP="00BA4AA7">
            <w:pPr>
              <w:pStyle w:val="ListParagraph"/>
              <w:autoSpaceDE w:val="0"/>
              <w:autoSpaceDN w:val="0"/>
              <w:adjustRightInd w:val="0"/>
              <w:spacing w:after="0"/>
            </w:pPr>
          </w:p>
          <w:p w:rsidR="00AC0667" w:rsidRPr="004C02F2" w:rsidRDefault="00BA4AA7" w:rsidP="00BA4AA7">
            <w:pPr>
              <w:rPr>
                <w:b/>
              </w:rPr>
            </w:pPr>
            <w:r w:rsidRPr="00CB6B64">
              <w:rPr>
                <w:b/>
              </w:rPr>
              <w:t>Staðfesting</w:t>
            </w:r>
            <w:r>
              <w:rPr>
                <w:b/>
              </w:rPr>
              <w:t>: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 xml:space="preserve">sem staðfesta </w:t>
            </w:r>
            <w:r>
              <w:t xml:space="preserve"> að viðmið hafi verið uppfyllt</w:t>
            </w:r>
            <w:r w:rsidRPr="005133D0">
              <w:t>.</w:t>
            </w:r>
          </w:p>
        </w:tc>
      </w:tr>
      <w:tr w:rsidR="00AC0667" w:rsidRPr="004C02F2" w:rsidTr="00AC0667">
        <w:tc>
          <w:tcPr>
            <w:tcW w:w="7308" w:type="dxa"/>
            <w:gridSpan w:val="3"/>
          </w:tcPr>
          <w:p w:rsidR="00937F6D" w:rsidRPr="000779BE" w:rsidRDefault="00937F6D" w:rsidP="000779BE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0779BE">
              <w:rPr>
                <w:b/>
              </w:rPr>
              <w:t>Eldtefjandi efni</w:t>
            </w:r>
          </w:p>
          <w:p w:rsidR="00937F6D" w:rsidRPr="001E75BB" w:rsidRDefault="00937F6D" w:rsidP="00937F6D">
            <w:pPr>
              <w:widowControl w:val="0"/>
              <w:autoSpaceDE w:val="0"/>
              <w:autoSpaceDN w:val="0"/>
              <w:adjustRightInd w:val="0"/>
              <w:spacing w:before="120"/>
              <w:ind w:left="360"/>
            </w:pPr>
            <w:r>
              <w:t>Eftirtalin eldtefjandi efni skal ekki nota í fullunna vöru:</w:t>
            </w:r>
          </w:p>
          <w:p w:rsidR="00937F6D" w:rsidRPr="00937F6D" w:rsidRDefault="00937F6D" w:rsidP="00937F6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</w:pPr>
            <w:r w:rsidRPr="00937F6D">
              <w:t>PBB (Polybrominated biphenyls) CAS no. 59536-65-1</w:t>
            </w:r>
          </w:p>
          <w:p w:rsidR="00937F6D" w:rsidRPr="00937F6D" w:rsidRDefault="00937F6D" w:rsidP="00937F6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</w:pPr>
            <w:r w:rsidRPr="00937F6D">
              <w:t>pentaBDE (Pentabromodiphenylether) CAS no. 32534-81-9</w:t>
            </w:r>
          </w:p>
          <w:p w:rsidR="00937F6D" w:rsidRPr="00937F6D" w:rsidRDefault="00937F6D" w:rsidP="00937F6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</w:pPr>
            <w:r w:rsidRPr="00937F6D">
              <w:t>octaBDE (Octabromodiphenyl ether) CAS no. 32536-52-9</w:t>
            </w:r>
          </w:p>
          <w:p w:rsidR="00AC0667" w:rsidRPr="00937F6D" w:rsidRDefault="00937F6D" w:rsidP="00937F6D">
            <w:pPr>
              <w:pStyle w:val="ListParagraph"/>
              <w:numPr>
                <w:ilvl w:val="0"/>
                <w:numId w:val="24"/>
              </w:numPr>
            </w:pPr>
            <w:r w:rsidRPr="00937F6D">
              <w:t>decaBDE (Decabromodiphenyl ether) CAS no. 1163-19-5</w:t>
            </w:r>
          </w:p>
          <w:p w:rsidR="00937F6D" w:rsidRPr="004C02F2" w:rsidRDefault="00937F6D" w:rsidP="00937F6D">
            <w:pPr>
              <w:rPr>
                <w:b/>
              </w:rPr>
            </w:pPr>
            <w:r w:rsidRPr="00CB6B64">
              <w:rPr>
                <w:b/>
              </w:rPr>
              <w:t>Staðfesting</w:t>
            </w:r>
            <w:r>
              <w:rPr>
                <w:b/>
              </w:rPr>
              <w:t>: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 xml:space="preserve">sem staðfesta </w:t>
            </w:r>
            <w:r>
              <w:t xml:space="preserve"> að viðmið hafi verið uppfyllt</w:t>
            </w:r>
            <w:r w:rsidRPr="005133D0">
              <w:t>.</w:t>
            </w:r>
          </w:p>
        </w:tc>
        <w:tc>
          <w:tcPr>
            <w:tcW w:w="6912" w:type="dxa"/>
            <w:gridSpan w:val="3"/>
          </w:tcPr>
          <w:p w:rsidR="00937F6D" w:rsidRPr="00E220FE" w:rsidRDefault="00937F6D" w:rsidP="00E220FE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E220FE">
              <w:rPr>
                <w:b/>
              </w:rPr>
              <w:t>Eldtefjandi efni</w:t>
            </w:r>
          </w:p>
          <w:p w:rsidR="00937F6D" w:rsidRPr="001E75BB" w:rsidRDefault="00937F6D" w:rsidP="00937F6D">
            <w:pPr>
              <w:widowControl w:val="0"/>
              <w:autoSpaceDE w:val="0"/>
              <w:autoSpaceDN w:val="0"/>
              <w:adjustRightInd w:val="0"/>
              <w:spacing w:before="120"/>
              <w:ind w:left="360"/>
            </w:pPr>
            <w:r>
              <w:t>Eftirtalin eldtefjandi efni skal ekki nota í fullunna vöru:</w:t>
            </w:r>
          </w:p>
          <w:p w:rsidR="00937F6D" w:rsidRPr="00937F6D" w:rsidRDefault="00937F6D" w:rsidP="00937F6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</w:pPr>
            <w:r w:rsidRPr="00937F6D">
              <w:t>PBB (Polybrominated biphenyls) CAS no. 59536-65-1</w:t>
            </w:r>
          </w:p>
          <w:p w:rsidR="00937F6D" w:rsidRPr="00937F6D" w:rsidRDefault="00937F6D" w:rsidP="00937F6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</w:pPr>
            <w:r w:rsidRPr="00937F6D">
              <w:t>pentaBDE (Pentabromodiphenylether) CAS no. 32534-81-9</w:t>
            </w:r>
          </w:p>
          <w:p w:rsidR="00937F6D" w:rsidRPr="00937F6D" w:rsidRDefault="00937F6D" w:rsidP="00937F6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</w:pPr>
            <w:r w:rsidRPr="00937F6D">
              <w:t>octaBDE (Octabromodiphenyl ether) CAS no. 32536-52-9</w:t>
            </w:r>
          </w:p>
          <w:p w:rsidR="00937F6D" w:rsidRPr="00937F6D" w:rsidRDefault="00937F6D" w:rsidP="00937F6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</w:pPr>
            <w:r w:rsidRPr="00937F6D">
              <w:t>decaBDE (Decabromodiphenyl ether) CAS no. 1163-19-5</w:t>
            </w:r>
          </w:p>
          <w:p w:rsidR="00937F6D" w:rsidRPr="00937F6D" w:rsidRDefault="00937F6D" w:rsidP="00937F6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</w:pPr>
            <w:r w:rsidRPr="00937F6D">
              <w:t>Tri-(2,3Dibromopropyl-)Phosphate, CAS-Nr. 126-72-7</w:t>
            </w:r>
          </w:p>
          <w:p w:rsidR="00937F6D" w:rsidRDefault="00937F6D" w:rsidP="00937F6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</w:pPr>
            <w:r w:rsidRPr="00937F6D">
              <w:t xml:space="preserve">HBCDD (Hexabromocyclododecane) CAS. 25637-99-4 </w:t>
            </w:r>
            <w:r w:rsidR="004B5EA8">
              <w:t>og</w:t>
            </w:r>
            <w:r w:rsidRPr="00937F6D">
              <w:t xml:space="preserve"> 3194-55-6</w:t>
            </w:r>
          </w:p>
          <w:p w:rsidR="00937F6D" w:rsidRPr="00937F6D" w:rsidRDefault="00937F6D" w:rsidP="00937F6D">
            <w:pPr>
              <w:pStyle w:val="ListParagraph"/>
              <w:autoSpaceDE w:val="0"/>
              <w:autoSpaceDN w:val="0"/>
              <w:adjustRightInd w:val="0"/>
              <w:spacing w:after="0"/>
            </w:pPr>
          </w:p>
          <w:p w:rsidR="00AC0667" w:rsidRPr="004C02F2" w:rsidRDefault="00937F6D" w:rsidP="00937F6D">
            <w:pPr>
              <w:rPr>
                <w:b/>
              </w:rPr>
            </w:pPr>
            <w:r w:rsidRPr="00CB6B64">
              <w:rPr>
                <w:b/>
              </w:rPr>
              <w:t>Staðfesting</w:t>
            </w:r>
            <w:r>
              <w:rPr>
                <w:b/>
              </w:rPr>
              <w:t>: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 xml:space="preserve">sem staðfesta </w:t>
            </w:r>
            <w:r>
              <w:t xml:space="preserve"> að viðmið hafi verið uppfyllt</w:t>
            </w:r>
            <w:r w:rsidRPr="005133D0">
              <w:t>.</w:t>
            </w:r>
          </w:p>
        </w:tc>
      </w:tr>
      <w:tr w:rsidR="00AC0667" w:rsidRPr="004C02F2" w:rsidTr="00AC0667">
        <w:tc>
          <w:tcPr>
            <w:tcW w:w="7308" w:type="dxa"/>
            <w:gridSpan w:val="3"/>
          </w:tcPr>
          <w:p w:rsidR="00164A02" w:rsidRPr="00E220FE" w:rsidRDefault="003632B8" w:rsidP="00E220FE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E220FE">
              <w:rPr>
                <w:b/>
              </w:rPr>
              <w:t>Penta</w:t>
            </w:r>
            <w:r w:rsidR="00C908FB" w:rsidRPr="00E220FE">
              <w:rPr>
                <w:b/>
              </w:rPr>
              <w:t>chlorophenol</w:t>
            </w:r>
            <w:r w:rsidRPr="00E220FE">
              <w:rPr>
                <w:b/>
              </w:rPr>
              <w:t xml:space="preserve"> og tetra</w:t>
            </w:r>
            <w:r w:rsidR="00C908FB" w:rsidRPr="00E220FE">
              <w:rPr>
                <w:b/>
              </w:rPr>
              <w:t>chlorophenol</w:t>
            </w:r>
          </w:p>
          <w:p w:rsidR="003632B8" w:rsidRPr="00C908FB" w:rsidRDefault="003632B8" w:rsidP="00164A02">
            <w:pPr>
              <w:widowControl w:val="0"/>
              <w:autoSpaceDE w:val="0"/>
              <w:autoSpaceDN w:val="0"/>
              <w:adjustRightInd w:val="0"/>
              <w:spacing w:before="120"/>
              <w:ind w:left="360"/>
            </w:pPr>
            <w:r>
              <w:t xml:space="preserve">Fullunnin vara úr </w:t>
            </w:r>
            <w:r w:rsidR="00D45FD0">
              <w:t>bómull</w:t>
            </w:r>
            <w:r>
              <w:t xml:space="preserve"> eða öðrum náttúrlegum beðmistrefjum skal ekki innihalda meira en 0,5 </w:t>
            </w:r>
            <w:r w:rsidR="00164A02">
              <w:t>ppm</w:t>
            </w:r>
            <w:r>
              <w:t xml:space="preserve"> af </w:t>
            </w:r>
            <w:r w:rsidR="00C908FB">
              <w:t>p</w:t>
            </w:r>
            <w:r w:rsidR="00C908FB" w:rsidRPr="00C908FB">
              <w:t>entachlorophenol</w:t>
            </w:r>
            <w:r w:rsidRPr="00C908FB">
              <w:t>.</w:t>
            </w:r>
          </w:p>
          <w:p w:rsidR="00AC0667" w:rsidRPr="004C02F2" w:rsidRDefault="003632B8" w:rsidP="00164A02">
            <w:pPr>
              <w:tabs>
                <w:tab w:val="left" w:pos="5488"/>
              </w:tabs>
              <w:rPr>
                <w:b/>
              </w:rPr>
            </w:pPr>
            <w:r w:rsidRPr="00CB6B64">
              <w:rPr>
                <w:b/>
              </w:rPr>
              <w:t>Staðfesting</w:t>
            </w:r>
            <w:r>
              <w:rPr>
                <w:b/>
              </w:rPr>
              <w:t>: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 xml:space="preserve">sem staðfesta </w:t>
            </w:r>
            <w:r>
              <w:t xml:space="preserve"> að viðmið hafi verið uppfyllt</w:t>
            </w:r>
            <w:r>
              <w:rPr>
                <w:i/>
              </w:rPr>
              <w:t>.</w:t>
            </w:r>
          </w:p>
        </w:tc>
        <w:tc>
          <w:tcPr>
            <w:tcW w:w="6912" w:type="dxa"/>
            <w:gridSpan w:val="3"/>
          </w:tcPr>
          <w:p w:rsidR="00C908FB" w:rsidRPr="00164A02" w:rsidRDefault="00C908FB" w:rsidP="00C908F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/>
            </w:pPr>
            <w:r w:rsidRPr="00164A02">
              <w:rPr>
                <w:b/>
              </w:rPr>
              <w:t>Penta</w:t>
            </w:r>
            <w:r>
              <w:rPr>
                <w:b/>
              </w:rPr>
              <w:t>chlorophenol</w:t>
            </w:r>
            <w:r w:rsidRPr="00164A02">
              <w:rPr>
                <w:b/>
              </w:rPr>
              <w:t xml:space="preserve"> og tetra</w:t>
            </w:r>
            <w:r>
              <w:rPr>
                <w:b/>
              </w:rPr>
              <w:t>chlorophenol</w:t>
            </w:r>
          </w:p>
          <w:p w:rsidR="00164A02" w:rsidRPr="001E75BB" w:rsidRDefault="00164A02" w:rsidP="00164A02">
            <w:pPr>
              <w:widowControl w:val="0"/>
              <w:autoSpaceDE w:val="0"/>
              <w:autoSpaceDN w:val="0"/>
              <w:adjustRightInd w:val="0"/>
              <w:spacing w:before="120"/>
              <w:ind w:left="360"/>
            </w:pPr>
            <w:r>
              <w:t xml:space="preserve">Fullunnin vara úr </w:t>
            </w:r>
            <w:r w:rsidR="00D45FD0">
              <w:t>bómull</w:t>
            </w:r>
            <w:r>
              <w:t xml:space="preserve"> eða öðrum náttúrlegum beðmistrefjum skal ekki innihalda meira en 0,05 ppm af </w:t>
            </w:r>
            <w:r w:rsidR="00C908FB">
              <w:t>p</w:t>
            </w:r>
            <w:r w:rsidR="00C908FB" w:rsidRPr="00C908FB">
              <w:t>entachlorophenol</w:t>
            </w:r>
            <w:r>
              <w:t>.</w:t>
            </w:r>
          </w:p>
          <w:p w:rsidR="00AC0667" w:rsidRPr="004C02F2" w:rsidRDefault="00164A02" w:rsidP="00164A02">
            <w:pPr>
              <w:rPr>
                <w:b/>
              </w:rPr>
            </w:pPr>
            <w:r w:rsidRPr="00CB6B64">
              <w:rPr>
                <w:b/>
              </w:rPr>
              <w:t>Staðfesting</w:t>
            </w:r>
            <w:r>
              <w:rPr>
                <w:b/>
              </w:rPr>
              <w:t>: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 xml:space="preserve">sem staðfesta </w:t>
            </w:r>
            <w:r>
              <w:t xml:space="preserve"> að viðmið hafi verið uppfyllt</w:t>
            </w:r>
            <w:r>
              <w:rPr>
                <w:i/>
              </w:rPr>
              <w:t>.</w:t>
            </w:r>
          </w:p>
        </w:tc>
      </w:tr>
      <w:tr w:rsidR="00AC0667" w:rsidRPr="004C02F2" w:rsidTr="00AC0667">
        <w:tc>
          <w:tcPr>
            <w:tcW w:w="7308" w:type="dxa"/>
            <w:gridSpan w:val="3"/>
          </w:tcPr>
          <w:p w:rsidR="00164A02" w:rsidRPr="00E220FE" w:rsidRDefault="00164A02" w:rsidP="00E220FE">
            <w:pPr>
              <w:pStyle w:val="ListParagraph"/>
              <w:numPr>
                <w:ilvl w:val="0"/>
                <w:numId w:val="38"/>
              </w:numPr>
              <w:spacing w:before="120"/>
              <w:rPr>
                <w:b/>
              </w:rPr>
            </w:pPr>
            <w:r w:rsidRPr="00E220FE">
              <w:rPr>
                <w:b/>
              </w:rPr>
              <w:t>Þalöt mýkingarefni</w:t>
            </w:r>
          </w:p>
          <w:p w:rsidR="00164A02" w:rsidRPr="001E75BB" w:rsidRDefault="00164A02" w:rsidP="00164A02">
            <w:pPr>
              <w:spacing w:before="120"/>
              <w:ind w:left="360"/>
            </w:pPr>
            <w:r>
              <w:t xml:space="preserve">Um vörur sem komast í snertingu við húð skulu eftirtalin þalöt ekki vega meira en 0,1% af heildarþyngd fullunninnar vöru: </w:t>
            </w:r>
          </w:p>
          <w:p w:rsidR="00164A02" w:rsidRPr="00164A02" w:rsidRDefault="00164A02" w:rsidP="00164A0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</w:pPr>
            <w:r w:rsidRPr="00164A02">
              <w:t>DEHP (Di-(2-ethylhexyl)-phthalate) CAS no. 117-81-7</w:t>
            </w:r>
          </w:p>
          <w:p w:rsidR="00164A02" w:rsidRPr="00164A02" w:rsidRDefault="00164A02" w:rsidP="00164A0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</w:pPr>
            <w:r w:rsidRPr="00164A02">
              <w:t>BBP (Butylbenzylphthalate) CAS no. 85-68-7</w:t>
            </w:r>
          </w:p>
          <w:p w:rsidR="00164A02" w:rsidRPr="00164A02" w:rsidRDefault="00164A02" w:rsidP="00164A0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</w:pPr>
            <w:r w:rsidRPr="00164A02">
              <w:t>DBP (Dibutylphthalate) CAS no. 84-74-2</w:t>
            </w:r>
          </w:p>
          <w:p w:rsidR="00164A02" w:rsidRPr="00164A02" w:rsidRDefault="00164A02" w:rsidP="00164A0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</w:pPr>
            <w:r w:rsidRPr="00164A02">
              <w:t>DNOP (Di-n-octylphthalate)</w:t>
            </w:r>
          </w:p>
          <w:p w:rsidR="00164A02" w:rsidRPr="00164A02" w:rsidRDefault="00164A02" w:rsidP="00164A0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</w:pPr>
            <w:r w:rsidRPr="00164A02">
              <w:t>DINP (Di-isononylphthalat)</w:t>
            </w:r>
          </w:p>
          <w:p w:rsidR="00164A02" w:rsidRPr="00164A02" w:rsidRDefault="00164A02" w:rsidP="00164A0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</w:pPr>
            <w:r w:rsidRPr="00164A02">
              <w:t>DIDP (Di-isodecylphthalat)</w:t>
            </w:r>
          </w:p>
          <w:p w:rsidR="00164A02" w:rsidRPr="00164A02" w:rsidRDefault="00164A02" w:rsidP="00164A0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</w:pPr>
            <w:r w:rsidRPr="00164A02">
              <w:t>DIBP (Diisobutylphthalat)</w:t>
            </w:r>
          </w:p>
          <w:p w:rsidR="00AC0667" w:rsidRPr="00164A02" w:rsidRDefault="00164A02" w:rsidP="00164A02">
            <w:pPr>
              <w:pStyle w:val="ListParagraph"/>
              <w:numPr>
                <w:ilvl w:val="0"/>
                <w:numId w:val="27"/>
              </w:numPr>
            </w:pPr>
            <w:r w:rsidRPr="00164A02">
              <w:t>TCEP (Tris(2-chlorethyl)phosphate)</w:t>
            </w:r>
          </w:p>
          <w:p w:rsidR="00164A02" w:rsidRPr="004C02F2" w:rsidRDefault="00164A02" w:rsidP="00164A02">
            <w:pPr>
              <w:rPr>
                <w:b/>
              </w:rPr>
            </w:pPr>
            <w:r w:rsidRPr="00CB6B64">
              <w:rPr>
                <w:b/>
              </w:rPr>
              <w:t>Staðfesting</w:t>
            </w:r>
            <w:r>
              <w:rPr>
                <w:b/>
              </w:rPr>
              <w:t>: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 xml:space="preserve">sem staðfesta </w:t>
            </w:r>
            <w:r>
              <w:t xml:space="preserve"> að viðmið hafi verið uppfyllt</w:t>
            </w:r>
            <w:r>
              <w:rPr>
                <w:i/>
              </w:rPr>
              <w:t>.</w:t>
            </w:r>
          </w:p>
        </w:tc>
        <w:tc>
          <w:tcPr>
            <w:tcW w:w="6912" w:type="dxa"/>
            <w:gridSpan w:val="3"/>
          </w:tcPr>
          <w:p w:rsidR="00164A02" w:rsidRPr="00164A02" w:rsidRDefault="00164A02" w:rsidP="00C908FB">
            <w:pPr>
              <w:pStyle w:val="ListParagraph"/>
              <w:numPr>
                <w:ilvl w:val="0"/>
                <w:numId w:val="34"/>
              </w:numPr>
              <w:spacing w:before="120"/>
            </w:pPr>
            <w:r w:rsidRPr="00164A02">
              <w:rPr>
                <w:b/>
              </w:rPr>
              <w:t>Þalöt mýkingarefni</w:t>
            </w:r>
          </w:p>
          <w:p w:rsidR="00164A02" w:rsidRPr="001E75BB" w:rsidRDefault="00164A02" w:rsidP="00164A02">
            <w:pPr>
              <w:spacing w:before="120"/>
              <w:ind w:left="360"/>
            </w:pPr>
            <w:r>
              <w:t xml:space="preserve">Um vörur sem komast í snertingu við húð skulu eftirtalin þalöt ekki vega meira en 0,1% af heildarþyngd fullunninnar vöru: </w:t>
            </w:r>
          </w:p>
          <w:p w:rsidR="00164A02" w:rsidRPr="00164A02" w:rsidRDefault="00164A02" w:rsidP="00164A0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</w:pPr>
            <w:r w:rsidRPr="00164A02">
              <w:t>DEHP (Di-(2-ethylhexyl)-phthalate) CAS no. 117-81-7</w:t>
            </w:r>
          </w:p>
          <w:p w:rsidR="00164A02" w:rsidRPr="00164A02" w:rsidRDefault="00164A02" w:rsidP="00164A0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</w:pPr>
            <w:r w:rsidRPr="00164A02">
              <w:t>BBP (Butylbenzylphthalate) CAS no. 85-68-7</w:t>
            </w:r>
          </w:p>
          <w:p w:rsidR="00164A02" w:rsidRPr="00164A02" w:rsidRDefault="00164A02" w:rsidP="00164A0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</w:pPr>
            <w:r w:rsidRPr="00164A02">
              <w:t>DBP (Dibutylphthalate) CAS no. 84-74-2</w:t>
            </w:r>
          </w:p>
          <w:p w:rsidR="00164A02" w:rsidRPr="00164A02" w:rsidRDefault="00164A02" w:rsidP="00164A0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</w:pPr>
            <w:r w:rsidRPr="00164A02">
              <w:t>DNOP (Di-n-octylphthalate)</w:t>
            </w:r>
          </w:p>
          <w:p w:rsidR="00164A02" w:rsidRPr="00164A02" w:rsidRDefault="00164A02" w:rsidP="00164A0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</w:pPr>
            <w:r w:rsidRPr="00164A02">
              <w:t>DINP (Di-isononylphthalat)</w:t>
            </w:r>
          </w:p>
          <w:p w:rsidR="00164A02" w:rsidRPr="00164A02" w:rsidRDefault="00164A02" w:rsidP="00164A0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</w:pPr>
            <w:r w:rsidRPr="00164A02">
              <w:t>DIDP (Di-isodecylphthalat)</w:t>
            </w:r>
          </w:p>
          <w:p w:rsidR="00164A02" w:rsidRPr="00164A02" w:rsidRDefault="00164A02" w:rsidP="00164A0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</w:pPr>
            <w:r w:rsidRPr="00164A02">
              <w:t>DIBP (Diisobutylphthalat)</w:t>
            </w:r>
          </w:p>
          <w:p w:rsidR="00164A02" w:rsidRPr="00164A02" w:rsidRDefault="00164A02" w:rsidP="00164A02">
            <w:pPr>
              <w:pStyle w:val="ListParagraph"/>
              <w:numPr>
                <w:ilvl w:val="0"/>
                <w:numId w:val="27"/>
              </w:numPr>
            </w:pPr>
            <w:r w:rsidRPr="00164A02">
              <w:t>TCEP (Tris(2-chlorethyl)phosphate)</w:t>
            </w:r>
          </w:p>
          <w:p w:rsidR="00AC0667" w:rsidRPr="00164A02" w:rsidRDefault="00164A02" w:rsidP="00164A02">
            <w:pPr>
              <w:rPr>
                <w:b/>
              </w:rPr>
            </w:pPr>
            <w:r w:rsidRPr="00CB6B64">
              <w:rPr>
                <w:b/>
              </w:rPr>
              <w:t>Staðfesting</w:t>
            </w:r>
            <w:r>
              <w:rPr>
                <w:b/>
              </w:rPr>
              <w:t>: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 xml:space="preserve">sem staðfesta </w:t>
            </w:r>
            <w:r>
              <w:t xml:space="preserve"> að viðmið hafi verið uppfyllt</w:t>
            </w:r>
            <w:r>
              <w:rPr>
                <w:i/>
              </w:rPr>
              <w:t>.</w:t>
            </w:r>
          </w:p>
        </w:tc>
      </w:tr>
      <w:tr w:rsidR="00AC0667" w:rsidRPr="004C02F2" w:rsidTr="00AC0667">
        <w:tc>
          <w:tcPr>
            <w:tcW w:w="7308" w:type="dxa"/>
            <w:gridSpan w:val="3"/>
          </w:tcPr>
          <w:p w:rsidR="00631A78" w:rsidRPr="00631A78" w:rsidRDefault="00631A78" w:rsidP="00C908FB">
            <w:pPr>
              <w:pStyle w:val="ListParagraph"/>
              <w:numPr>
                <w:ilvl w:val="0"/>
                <w:numId w:val="34"/>
              </w:numPr>
              <w:tabs>
                <w:tab w:val="left" w:pos="4863"/>
              </w:tabs>
              <w:jc w:val="both"/>
              <w:rPr>
                <w:b/>
              </w:rPr>
            </w:pPr>
            <w:r w:rsidRPr="00631A78">
              <w:rPr>
                <w:b/>
              </w:rPr>
              <w:t>Formaldehýð</w:t>
            </w:r>
          </w:p>
          <w:p w:rsidR="00AC0667" w:rsidRDefault="00631A78" w:rsidP="00631A78">
            <w:pPr>
              <w:tabs>
                <w:tab w:val="left" w:pos="4863"/>
              </w:tabs>
            </w:pPr>
            <w:r>
              <w:t>Magn óbundins formaldehýðs, sem er að hluta eða að öllu vatnsrjúfanlegt, í fullunninni vöru skal ekki fara yfir 70 ppm í vörum sem eru í beinni snertingu við húð og 300 ppm í öllum öðrum vörum.</w:t>
            </w:r>
          </w:p>
          <w:p w:rsidR="001812CB" w:rsidRPr="001812CB" w:rsidRDefault="001812CB" w:rsidP="00631A78">
            <w:pPr>
              <w:tabs>
                <w:tab w:val="left" w:pos="4863"/>
              </w:tabs>
              <w:rPr>
                <w:b/>
              </w:rPr>
            </w:pPr>
            <w:r w:rsidRPr="00CB6B64">
              <w:rPr>
                <w:b/>
              </w:rPr>
              <w:t>Staðfesting</w:t>
            </w:r>
            <w:r>
              <w:rPr>
                <w:b/>
              </w:rPr>
              <w:t>: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 xml:space="preserve">sem staðfesta </w:t>
            </w:r>
            <w:r>
              <w:t xml:space="preserve"> að viðmið hafi verið uppfyllt</w:t>
            </w:r>
            <w:r>
              <w:rPr>
                <w:i/>
              </w:rPr>
              <w:t>.</w:t>
            </w:r>
          </w:p>
        </w:tc>
        <w:tc>
          <w:tcPr>
            <w:tcW w:w="6912" w:type="dxa"/>
            <w:gridSpan w:val="3"/>
          </w:tcPr>
          <w:p w:rsidR="00631A78" w:rsidRPr="001812CB" w:rsidRDefault="00631A78" w:rsidP="00E220FE">
            <w:pPr>
              <w:pStyle w:val="ListParagraph"/>
              <w:numPr>
                <w:ilvl w:val="0"/>
                <w:numId w:val="38"/>
              </w:numPr>
              <w:tabs>
                <w:tab w:val="left" w:pos="4863"/>
              </w:tabs>
              <w:jc w:val="both"/>
              <w:rPr>
                <w:b/>
              </w:rPr>
            </w:pPr>
            <w:r w:rsidRPr="001812CB">
              <w:rPr>
                <w:b/>
              </w:rPr>
              <w:t>Formaldehýð</w:t>
            </w:r>
          </w:p>
          <w:p w:rsidR="00AC0667" w:rsidRDefault="00631A78" w:rsidP="00631A78">
            <w:r>
              <w:t>Magn óbundins formaldehýðs, sem er að hluta eða að öllu vatnsrjúfanlegt, í fullunninni vöru skal ekki fara yfir 20 ppm í vörum fyrir börn undir 3 ára, 30ppm fyrir vörur sem eru í beinni snertingu við húð og 75 ppm í öllum öðrum vörum.</w:t>
            </w:r>
          </w:p>
          <w:p w:rsidR="001812CB" w:rsidRPr="001812CB" w:rsidRDefault="001812CB" w:rsidP="00631A78">
            <w:pPr>
              <w:rPr>
                <w:b/>
              </w:rPr>
            </w:pPr>
            <w:r w:rsidRPr="00CB6B64">
              <w:rPr>
                <w:b/>
              </w:rPr>
              <w:t>Staðfesting</w:t>
            </w:r>
            <w:r>
              <w:rPr>
                <w:b/>
              </w:rPr>
              <w:t>: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 xml:space="preserve">sem staðfesta </w:t>
            </w:r>
            <w:r>
              <w:t xml:space="preserve"> að viðmið hafi verið uppfyllt</w:t>
            </w:r>
            <w:r>
              <w:rPr>
                <w:i/>
              </w:rPr>
              <w:t>.</w:t>
            </w:r>
          </w:p>
        </w:tc>
      </w:tr>
      <w:tr w:rsidR="00AC0667" w:rsidRPr="004C02F2" w:rsidTr="00AC0667">
        <w:tc>
          <w:tcPr>
            <w:tcW w:w="7308" w:type="dxa"/>
            <w:gridSpan w:val="3"/>
          </w:tcPr>
          <w:p w:rsidR="00940AE0" w:rsidRPr="00E220FE" w:rsidRDefault="00940AE0" w:rsidP="00E220FE">
            <w:pPr>
              <w:pStyle w:val="ListParagraph"/>
              <w:numPr>
                <w:ilvl w:val="0"/>
                <w:numId w:val="38"/>
              </w:numPr>
              <w:spacing w:before="120"/>
              <w:rPr>
                <w:b/>
              </w:rPr>
            </w:pPr>
            <w:r w:rsidRPr="00E220FE">
              <w:rPr>
                <w:b/>
              </w:rPr>
              <w:t>Þungmálmar</w:t>
            </w:r>
          </w:p>
          <w:p w:rsidR="001812CB" w:rsidRPr="001E75BB" w:rsidRDefault="001812CB" w:rsidP="00940AE0">
            <w:pPr>
              <w:spacing w:before="120"/>
              <w:ind w:left="360"/>
            </w:pPr>
            <w:r>
              <w:t xml:space="preserve">Magn kadmíums (Cd), króms (Cr), nikkels (Ni), blýs (Pb) og kopars (Cu) í fullunninni vöru skal ekki </w:t>
            </w:r>
            <w:r w:rsidR="00940AE0">
              <w:t>vera meira en:</w:t>
            </w:r>
            <w:r>
              <w:t xml:space="preserve"> </w:t>
            </w:r>
          </w:p>
          <w:p w:rsidR="001812CB" w:rsidRPr="001E75BB" w:rsidRDefault="001812CB" w:rsidP="001812C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30" w:hanging="284"/>
            </w:pPr>
            <w:r w:rsidRPr="002F4677">
              <w:t>Kadmíum (Cd): 0,1</w:t>
            </w:r>
            <w:r w:rsidR="00940AE0">
              <w:t xml:space="preserve"> ppm</w:t>
            </w:r>
          </w:p>
          <w:p w:rsidR="001812CB" w:rsidRPr="001E75BB" w:rsidRDefault="00C908FB" w:rsidP="001812C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30" w:hanging="284"/>
            </w:pPr>
            <w:r w:rsidRPr="002F4677">
              <w:t>K</w:t>
            </w:r>
            <w:r w:rsidR="001812CB" w:rsidRPr="002F4677">
              <w:t>róm</w:t>
            </w:r>
            <w:r>
              <w:t xml:space="preserve"> (Cr)</w:t>
            </w:r>
            <w:r w:rsidR="001812CB" w:rsidRPr="002F4677">
              <w:t xml:space="preserve">: 2,0 </w:t>
            </w:r>
            <w:r w:rsidR="00940AE0">
              <w:t>ppm</w:t>
            </w:r>
          </w:p>
          <w:p w:rsidR="001812CB" w:rsidRPr="001E75BB" w:rsidRDefault="00C908FB" w:rsidP="001812C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30" w:hanging="284"/>
            </w:pPr>
            <w:r w:rsidRPr="002F4677">
              <w:t>N</w:t>
            </w:r>
            <w:r w:rsidR="001812CB" w:rsidRPr="002F4677">
              <w:t>ikkel</w:t>
            </w:r>
            <w:r>
              <w:t xml:space="preserve"> (Ni)</w:t>
            </w:r>
            <w:r w:rsidR="001812CB" w:rsidRPr="002F4677">
              <w:t xml:space="preserve">: 4,0 </w:t>
            </w:r>
            <w:r w:rsidR="00940AE0">
              <w:t>ppm</w:t>
            </w:r>
          </w:p>
          <w:p w:rsidR="00940AE0" w:rsidRDefault="00C908FB" w:rsidP="001812C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30" w:hanging="284"/>
            </w:pPr>
            <w:r w:rsidRPr="002F4677">
              <w:t>B</w:t>
            </w:r>
            <w:r w:rsidR="001812CB" w:rsidRPr="002F4677">
              <w:t>lý</w:t>
            </w:r>
            <w:r>
              <w:t xml:space="preserve"> (Pb)</w:t>
            </w:r>
            <w:r w:rsidR="001812CB" w:rsidRPr="002F4677">
              <w:t xml:space="preserve">: 1,0  </w:t>
            </w:r>
            <w:r w:rsidR="00940AE0">
              <w:t>ppm</w:t>
            </w:r>
          </w:p>
          <w:p w:rsidR="00AC0667" w:rsidRDefault="00C908FB" w:rsidP="001812C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30" w:hanging="284"/>
            </w:pPr>
            <w:r w:rsidRPr="002F4677">
              <w:t>K</w:t>
            </w:r>
            <w:r w:rsidR="001812CB" w:rsidRPr="002F4677">
              <w:t>opar</w:t>
            </w:r>
            <w:r>
              <w:t xml:space="preserve"> (Cu)</w:t>
            </w:r>
            <w:r w:rsidR="001812CB" w:rsidRPr="002F4677">
              <w:t>: 50,0</w:t>
            </w:r>
            <w:r w:rsidR="00940AE0">
              <w:t xml:space="preserve"> ppm</w:t>
            </w:r>
          </w:p>
          <w:p w:rsidR="00940AE0" w:rsidRDefault="00940AE0" w:rsidP="00940AE0">
            <w:pPr>
              <w:widowControl w:val="0"/>
              <w:autoSpaceDE w:val="0"/>
              <w:autoSpaceDN w:val="0"/>
              <w:adjustRightInd w:val="0"/>
              <w:spacing w:after="0"/>
              <w:ind w:left="46"/>
              <w:rPr>
                <w:b/>
              </w:rPr>
            </w:pPr>
          </w:p>
          <w:p w:rsidR="00940AE0" w:rsidRPr="00940AE0" w:rsidRDefault="00940AE0" w:rsidP="00A12525">
            <w:pPr>
              <w:autoSpaceDE w:val="0"/>
              <w:autoSpaceDN w:val="0"/>
              <w:adjustRightInd w:val="0"/>
              <w:spacing w:after="0"/>
            </w:pPr>
            <w:r w:rsidRPr="00CB6B64">
              <w:rPr>
                <w:b/>
              </w:rPr>
              <w:t>Staðfesting</w:t>
            </w:r>
            <w:r>
              <w:rPr>
                <w:b/>
              </w:rPr>
              <w:t>: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 xml:space="preserve">sem staðfesta </w:t>
            </w:r>
            <w:r>
              <w:t xml:space="preserve"> að viðmið hafi verið uppfyllt</w:t>
            </w:r>
            <w:r w:rsidR="006F313E">
              <w:t xml:space="preserve"> svo sem önnur einkarekin eða ríkisrekin textílmerki sem uppfylla tilgreind viðmið eða tæknileg </w:t>
            </w:r>
            <w:r w:rsidR="00020FC8">
              <w:t xml:space="preserve">gögn </w:t>
            </w:r>
            <w:r w:rsidR="006F313E">
              <w:t>frá framleiðanda eða prófunarskýrsla frá viðurkenndum aðila.</w:t>
            </w:r>
          </w:p>
        </w:tc>
        <w:tc>
          <w:tcPr>
            <w:tcW w:w="6912" w:type="dxa"/>
            <w:gridSpan w:val="3"/>
          </w:tcPr>
          <w:p w:rsidR="00940AE0" w:rsidRDefault="00940AE0" w:rsidP="00C908FB">
            <w:pPr>
              <w:pStyle w:val="ListParagraph"/>
              <w:numPr>
                <w:ilvl w:val="0"/>
                <w:numId w:val="34"/>
              </w:numPr>
              <w:spacing w:before="120"/>
            </w:pPr>
            <w:r w:rsidRPr="00C04B00">
              <w:rPr>
                <w:b/>
              </w:rPr>
              <w:t>Þungmálmar</w:t>
            </w:r>
          </w:p>
          <w:p w:rsidR="00940AE0" w:rsidRPr="001E75BB" w:rsidRDefault="00940AE0" w:rsidP="00940AE0">
            <w:pPr>
              <w:spacing w:before="120"/>
              <w:ind w:left="360"/>
            </w:pPr>
            <w:r>
              <w:t xml:space="preserve">Magn kadmíums (Cd), króms (Cr), nikkels (Ni), blýs (Pb), kopars (Cu) og fleiri eftirtalinna þungmálma í fullunninni vöru skal ekki vera meira en: </w:t>
            </w:r>
          </w:p>
          <w:p w:rsidR="00940AE0" w:rsidRDefault="00940AE0" w:rsidP="00940AE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30" w:hanging="284"/>
            </w:pPr>
            <w:r>
              <w:t>Antimony (Sb): 30ppm</w:t>
            </w:r>
          </w:p>
          <w:p w:rsidR="00940AE0" w:rsidRDefault="00940AE0" w:rsidP="00940AE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30" w:hanging="284"/>
            </w:pPr>
            <w:r>
              <w:t xml:space="preserve">Arsenic (As): 1,0 </w:t>
            </w:r>
            <w:r w:rsidRPr="00940AE0">
              <w:t>ppm (yfirhafnir), 0,</w:t>
            </w:r>
            <w:r>
              <w:t>2 ppm (annað)</w:t>
            </w:r>
          </w:p>
          <w:p w:rsidR="00940AE0" w:rsidRPr="001E75BB" w:rsidRDefault="00940AE0" w:rsidP="00940AE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30" w:hanging="284"/>
            </w:pPr>
            <w:r w:rsidRPr="002F4677">
              <w:t>Kadmíum (Cd): 0,1</w:t>
            </w:r>
            <w:r>
              <w:t xml:space="preserve"> ppm</w:t>
            </w:r>
          </w:p>
          <w:p w:rsidR="00940AE0" w:rsidRDefault="00940AE0" w:rsidP="00940AE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30" w:hanging="284"/>
            </w:pPr>
            <w:r>
              <w:t>K</w:t>
            </w:r>
            <w:r w:rsidRPr="002F4677">
              <w:t>róm</w:t>
            </w:r>
            <w:r w:rsidR="00C908FB">
              <w:t xml:space="preserve"> (Cr)</w:t>
            </w:r>
            <w:r w:rsidRPr="002F4677">
              <w:t xml:space="preserve">: 2,0 </w:t>
            </w:r>
            <w:r>
              <w:t xml:space="preserve">ppm </w:t>
            </w:r>
            <w:r w:rsidRPr="00940AE0">
              <w:t xml:space="preserve">(yfirhafnir), </w:t>
            </w:r>
            <w:r>
              <w:t>1,0 ppm (annað)</w:t>
            </w:r>
          </w:p>
          <w:p w:rsidR="00940AE0" w:rsidRDefault="00940AE0" w:rsidP="00940AE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30" w:hanging="284"/>
            </w:pPr>
            <w:r>
              <w:t>Króm VI (Cr-VI): 0,5 ppm</w:t>
            </w:r>
          </w:p>
          <w:p w:rsidR="00940AE0" w:rsidRPr="001E75BB" w:rsidRDefault="00940AE0" w:rsidP="00940AE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30" w:hanging="284"/>
            </w:pPr>
            <w:r>
              <w:t xml:space="preserve">Kóbalt (Co): 4,0 ppm </w:t>
            </w:r>
            <w:r w:rsidRPr="00940AE0">
              <w:t xml:space="preserve">(yfirhafnir), </w:t>
            </w:r>
            <w:r>
              <w:t>1,0 ppm (annað)</w:t>
            </w:r>
          </w:p>
          <w:p w:rsidR="004D0389" w:rsidRDefault="004D0389" w:rsidP="00940AE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30" w:hanging="284"/>
            </w:pPr>
            <w:r>
              <w:t>Kvikasilfur (Hg): 0,02 ppm</w:t>
            </w:r>
          </w:p>
          <w:p w:rsidR="00940AE0" w:rsidRPr="001E75BB" w:rsidRDefault="004D0389" w:rsidP="004D038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30" w:hanging="284"/>
            </w:pPr>
            <w:r>
              <w:t>N</w:t>
            </w:r>
            <w:r w:rsidR="00940AE0" w:rsidRPr="002F4677">
              <w:t>ikkel</w:t>
            </w:r>
            <w:r w:rsidR="00C908FB">
              <w:t xml:space="preserve"> (Ni)</w:t>
            </w:r>
            <w:r w:rsidR="00940AE0" w:rsidRPr="002F4677">
              <w:t xml:space="preserve">: 4,0 </w:t>
            </w:r>
            <w:r w:rsidR="00940AE0">
              <w:t>ppm</w:t>
            </w:r>
            <w:r>
              <w:t xml:space="preserve"> </w:t>
            </w:r>
            <w:r w:rsidRPr="00940AE0">
              <w:t>(yfirhafnir), 0,</w:t>
            </w:r>
            <w:r>
              <w:t>2 ppm (annað)</w:t>
            </w:r>
          </w:p>
          <w:p w:rsidR="00940AE0" w:rsidRDefault="004D0389" w:rsidP="004D038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30" w:hanging="284"/>
            </w:pPr>
            <w:r>
              <w:t>B</w:t>
            </w:r>
            <w:r w:rsidR="00940AE0" w:rsidRPr="002F4677">
              <w:t>lý</w:t>
            </w:r>
            <w:r w:rsidR="00C908FB">
              <w:t xml:space="preserve"> (Pb)</w:t>
            </w:r>
            <w:r w:rsidR="00940AE0" w:rsidRPr="002F4677">
              <w:t xml:space="preserve">: 1,0  </w:t>
            </w:r>
            <w:r w:rsidR="00940AE0">
              <w:t>ppm</w:t>
            </w:r>
            <w:r>
              <w:t xml:space="preserve"> </w:t>
            </w:r>
            <w:r w:rsidRPr="00940AE0">
              <w:t>(yfirhafnir), 0,</w:t>
            </w:r>
            <w:r>
              <w:t>2 ppm (annað)</w:t>
            </w:r>
          </w:p>
          <w:p w:rsidR="00940AE0" w:rsidRDefault="004D0389" w:rsidP="004D038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30" w:hanging="284"/>
            </w:pPr>
            <w:r>
              <w:t>K</w:t>
            </w:r>
            <w:r w:rsidR="00940AE0" w:rsidRPr="002F4677">
              <w:t>opar</w:t>
            </w:r>
            <w:r w:rsidR="00C908FB">
              <w:t xml:space="preserve"> (Cu)</w:t>
            </w:r>
            <w:r w:rsidR="00940AE0" w:rsidRPr="002F4677">
              <w:t>: 50,0</w:t>
            </w:r>
            <w:r w:rsidR="00940AE0">
              <w:t xml:space="preserve"> ppm</w:t>
            </w:r>
            <w:r>
              <w:t xml:space="preserve"> </w:t>
            </w:r>
            <w:r w:rsidRPr="00940AE0">
              <w:t>(yfirhafnir)</w:t>
            </w:r>
            <w:r>
              <w:t>, 25,0 ppm (annað)</w:t>
            </w:r>
          </w:p>
          <w:p w:rsidR="00940AE0" w:rsidRDefault="00940AE0" w:rsidP="00940AE0">
            <w:pPr>
              <w:widowControl w:val="0"/>
              <w:autoSpaceDE w:val="0"/>
              <w:autoSpaceDN w:val="0"/>
              <w:adjustRightInd w:val="0"/>
              <w:spacing w:after="0"/>
              <w:ind w:left="46"/>
              <w:rPr>
                <w:b/>
              </w:rPr>
            </w:pPr>
          </w:p>
          <w:p w:rsidR="00AC0667" w:rsidRPr="004C02F2" w:rsidRDefault="00940AE0" w:rsidP="006F313E">
            <w:pPr>
              <w:rPr>
                <w:b/>
              </w:rPr>
            </w:pPr>
            <w:r w:rsidRPr="00CB6B64">
              <w:rPr>
                <w:b/>
              </w:rPr>
              <w:t>Staðfesting</w:t>
            </w:r>
            <w:r>
              <w:rPr>
                <w:b/>
              </w:rPr>
              <w:t>: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 xml:space="preserve">sem staðfesta </w:t>
            </w:r>
            <w:r w:rsidR="006F313E">
              <w:t xml:space="preserve"> að viðmið hafi verið uppfyllt uppfyllt svo sem önnur einkarekin eða ríkisrekin textílmerki sem uppfylla tilgreind viðmið eða tæknileg málsskjöl frá framleiðanda eða prófunarskýrsla frá viðurkenndum aðila</w:t>
            </w:r>
          </w:p>
        </w:tc>
      </w:tr>
      <w:tr w:rsidR="00150537" w:rsidRPr="004C02F2" w:rsidTr="00AC0667">
        <w:tc>
          <w:tcPr>
            <w:tcW w:w="7308" w:type="dxa"/>
            <w:gridSpan w:val="3"/>
          </w:tcPr>
          <w:p w:rsidR="00150537" w:rsidRPr="00150537" w:rsidRDefault="00C908FB" w:rsidP="00C908FB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Heldni á lit og stærð</w:t>
            </w:r>
          </w:p>
          <w:p w:rsidR="00150537" w:rsidRPr="00150537" w:rsidRDefault="00150537" w:rsidP="00C908FB">
            <w:r w:rsidRPr="00150537">
              <w:t xml:space="preserve">Varan verður að uppfylla eftirfarandi lágmarksskilyrði um </w:t>
            </w:r>
            <w:r w:rsidR="00C908FB">
              <w:t xml:space="preserve">heldni </w:t>
            </w:r>
            <w:r w:rsidRPr="00150537">
              <w:t>lit</w:t>
            </w:r>
            <w:r w:rsidR="00C908FB">
              <w:t>ar</w:t>
            </w:r>
            <w:r w:rsidRPr="00150537">
              <w:t xml:space="preserve"> og </w:t>
            </w:r>
            <w:r w:rsidR="00C908FB">
              <w:t>stærðar</w:t>
            </w:r>
            <w:r w:rsidRPr="00150537">
              <w:t>:</w:t>
            </w:r>
          </w:p>
        </w:tc>
        <w:tc>
          <w:tcPr>
            <w:tcW w:w="6912" w:type="dxa"/>
            <w:gridSpan w:val="3"/>
          </w:tcPr>
          <w:p w:rsidR="00C908FB" w:rsidRPr="00150537" w:rsidRDefault="00C908FB" w:rsidP="00E220FE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Heldni á lit og stærð</w:t>
            </w:r>
          </w:p>
          <w:p w:rsidR="00150537" w:rsidRPr="00150537" w:rsidRDefault="00150537" w:rsidP="00C908FB">
            <w:r w:rsidRPr="00150537">
              <w:t xml:space="preserve">Varan verður að uppfylla eftirfarandi lágmarksskilyrði um heldni </w:t>
            </w:r>
            <w:r w:rsidR="00C908FB">
              <w:t xml:space="preserve">litar </w:t>
            </w:r>
            <w:r w:rsidRPr="00150537">
              <w:t>og st</w:t>
            </w:r>
            <w:r w:rsidR="00C908FB">
              <w:t>ærðar</w:t>
            </w:r>
            <w:r w:rsidRPr="00150537">
              <w:t>:</w:t>
            </w:r>
          </w:p>
        </w:tc>
      </w:tr>
      <w:tr w:rsidR="00150537" w:rsidRPr="00792634" w:rsidTr="00C04B00">
        <w:tc>
          <w:tcPr>
            <w:tcW w:w="2436" w:type="dxa"/>
          </w:tcPr>
          <w:p w:rsidR="00150537" w:rsidRPr="00792634" w:rsidRDefault="00150537" w:rsidP="007312BA">
            <w:pPr>
              <w:jc w:val="center"/>
              <w:rPr>
                <w:b/>
              </w:rPr>
            </w:pPr>
            <w:r w:rsidRPr="00792634">
              <w:rPr>
                <w:b/>
              </w:rPr>
              <w:t>Breyta</w:t>
            </w:r>
          </w:p>
        </w:tc>
        <w:tc>
          <w:tcPr>
            <w:tcW w:w="2436" w:type="dxa"/>
          </w:tcPr>
          <w:p w:rsidR="00150537" w:rsidRPr="00792634" w:rsidRDefault="00150537" w:rsidP="007312BA">
            <w:pPr>
              <w:jc w:val="center"/>
              <w:rPr>
                <w:b/>
              </w:rPr>
            </w:pPr>
            <w:r w:rsidRPr="00792634">
              <w:rPr>
                <w:b/>
              </w:rPr>
              <w:t>Viðmið</w:t>
            </w:r>
          </w:p>
        </w:tc>
        <w:tc>
          <w:tcPr>
            <w:tcW w:w="2436" w:type="dxa"/>
          </w:tcPr>
          <w:p w:rsidR="00150537" w:rsidRPr="00792634" w:rsidRDefault="00150537" w:rsidP="007312BA">
            <w:pPr>
              <w:jc w:val="center"/>
              <w:rPr>
                <w:b/>
              </w:rPr>
            </w:pPr>
            <w:r w:rsidRPr="00792634">
              <w:rPr>
                <w:b/>
              </w:rPr>
              <w:t>Prófunaraðferð</w:t>
            </w:r>
          </w:p>
        </w:tc>
        <w:tc>
          <w:tcPr>
            <w:tcW w:w="2304" w:type="dxa"/>
          </w:tcPr>
          <w:p w:rsidR="00150537" w:rsidRPr="00792634" w:rsidRDefault="00150537" w:rsidP="007312BA">
            <w:pPr>
              <w:jc w:val="center"/>
              <w:rPr>
                <w:b/>
              </w:rPr>
            </w:pPr>
            <w:r w:rsidRPr="00792634">
              <w:rPr>
                <w:b/>
              </w:rPr>
              <w:t>Breyta</w:t>
            </w:r>
          </w:p>
        </w:tc>
        <w:tc>
          <w:tcPr>
            <w:tcW w:w="2304" w:type="dxa"/>
          </w:tcPr>
          <w:p w:rsidR="00150537" w:rsidRPr="00792634" w:rsidRDefault="00150537" w:rsidP="007312BA">
            <w:pPr>
              <w:jc w:val="center"/>
              <w:rPr>
                <w:b/>
              </w:rPr>
            </w:pPr>
            <w:r w:rsidRPr="00792634">
              <w:rPr>
                <w:b/>
              </w:rPr>
              <w:t>Viðmið</w:t>
            </w:r>
          </w:p>
        </w:tc>
        <w:tc>
          <w:tcPr>
            <w:tcW w:w="2304" w:type="dxa"/>
          </w:tcPr>
          <w:p w:rsidR="00150537" w:rsidRPr="00792634" w:rsidRDefault="00150537" w:rsidP="007312BA">
            <w:pPr>
              <w:jc w:val="center"/>
              <w:rPr>
                <w:b/>
              </w:rPr>
            </w:pPr>
            <w:r w:rsidRPr="00792634">
              <w:rPr>
                <w:b/>
              </w:rPr>
              <w:t>Prófunaraðferð</w:t>
            </w:r>
          </w:p>
        </w:tc>
      </w:tr>
      <w:tr w:rsidR="005A5CA4" w:rsidRPr="00792634" w:rsidTr="00C04B00">
        <w:tc>
          <w:tcPr>
            <w:tcW w:w="2436" w:type="dxa"/>
          </w:tcPr>
          <w:p w:rsidR="005A5CA4" w:rsidRPr="00792634" w:rsidRDefault="00D45FD0" w:rsidP="00D45FD0">
            <w:r w:rsidRPr="00D45FD0">
              <w:rPr>
                <w:b/>
              </w:rPr>
              <w:t>9.1</w:t>
            </w:r>
            <w:r>
              <w:t xml:space="preserve"> </w:t>
            </w:r>
            <w:r w:rsidR="005A5CA4" w:rsidRPr="00792634">
              <w:rPr>
                <w:b/>
              </w:rPr>
              <w:t xml:space="preserve">Breytingar á </w:t>
            </w:r>
            <w:r w:rsidR="00C908FB">
              <w:rPr>
                <w:b/>
              </w:rPr>
              <w:t>stærð</w:t>
            </w:r>
            <w:r w:rsidR="005A5CA4" w:rsidRPr="00792634">
              <w:rPr>
                <w:b/>
              </w:rPr>
              <w:t xml:space="preserve"> við þvott og þurrkun</w:t>
            </w:r>
          </w:p>
        </w:tc>
        <w:tc>
          <w:tcPr>
            <w:tcW w:w="2436" w:type="dxa"/>
          </w:tcPr>
          <w:p w:rsidR="005A5CA4" w:rsidRPr="00792634" w:rsidRDefault="00C908FB" w:rsidP="00C30D0D">
            <w:r>
              <w:rPr>
                <w:rFonts w:cs="Times New Roman"/>
              </w:rPr>
              <w:t>±</w:t>
            </w:r>
            <w:r w:rsidR="005A5CA4" w:rsidRPr="00792634">
              <w:t xml:space="preserve"> 2% fyrir gluggatjöld og </w:t>
            </w:r>
            <w:r w:rsidR="00020FC8" w:rsidRPr="00792634">
              <w:t>húsgagna</w:t>
            </w:r>
            <w:r w:rsidR="00020FC8">
              <w:t>áklæði</w:t>
            </w:r>
            <w:r w:rsidR="00020FC8" w:rsidRPr="00792634">
              <w:t xml:space="preserve"> </w:t>
            </w:r>
            <w:r w:rsidR="005A5CA4" w:rsidRPr="00792634">
              <w:t>sem þol</w:t>
            </w:r>
            <w:r>
              <w:t>a</w:t>
            </w:r>
            <w:r w:rsidR="005A5CA4" w:rsidRPr="00792634">
              <w:t xml:space="preserve"> þvott og er</w:t>
            </w:r>
            <w:r>
              <w:t xml:space="preserve"> hægt að losa.</w:t>
            </w:r>
          </w:p>
          <w:p w:rsidR="005A5CA4" w:rsidRPr="00792634" w:rsidRDefault="00C908FB" w:rsidP="00C908FB">
            <w:r>
              <w:t>-</w:t>
            </w:r>
            <w:r w:rsidR="005A5CA4" w:rsidRPr="00792634">
              <w:t xml:space="preserve"> 8% </w:t>
            </w:r>
            <w:r>
              <w:t>til</w:t>
            </w:r>
            <w:r w:rsidR="005A5CA4" w:rsidRPr="00792634">
              <w:t xml:space="preserve"> </w:t>
            </w:r>
            <w:r>
              <w:t>+</w:t>
            </w:r>
            <w:r w:rsidR="001B0074">
              <w:t>4% fyrir a</w:t>
            </w:r>
            <w:r>
              <w:t>nnan ofinn textíl</w:t>
            </w:r>
            <w:r w:rsidR="005A5CA4" w:rsidRPr="00792634">
              <w:t xml:space="preserve"> og </w:t>
            </w:r>
            <w:r>
              <w:t>endingargóðan óofinn textíl</w:t>
            </w:r>
            <w:r w:rsidR="005A5CA4" w:rsidRPr="00792634">
              <w:t>, aðrar prjónaðar vörur eða fyrir frott</w:t>
            </w:r>
            <w:r>
              <w:t>é</w:t>
            </w:r>
            <w:r w:rsidR="000779BE">
              <w:t>-</w:t>
            </w:r>
            <w:r w:rsidR="005A5CA4" w:rsidRPr="00792634">
              <w:t xml:space="preserve">efni. </w:t>
            </w:r>
          </w:p>
        </w:tc>
        <w:tc>
          <w:tcPr>
            <w:tcW w:w="2436" w:type="dxa"/>
          </w:tcPr>
          <w:p w:rsidR="005A5CA4" w:rsidRPr="00792634" w:rsidRDefault="005A5CA4" w:rsidP="00150537">
            <w:r w:rsidRPr="00792634">
              <w:t>ISO 5077 eða sambærilegt</w:t>
            </w:r>
          </w:p>
        </w:tc>
        <w:tc>
          <w:tcPr>
            <w:tcW w:w="2304" w:type="dxa"/>
          </w:tcPr>
          <w:p w:rsidR="005A5CA4" w:rsidRPr="00792634" w:rsidRDefault="00D45FD0" w:rsidP="00D45FD0">
            <w:r w:rsidRPr="00D45FD0">
              <w:rPr>
                <w:b/>
              </w:rPr>
              <w:t>9.1</w:t>
            </w:r>
            <w:r>
              <w:t xml:space="preserve"> </w:t>
            </w:r>
            <w:r w:rsidR="005A5CA4" w:rsidRPr="00792634">
              <w:rPr>
                <w:b/>
              </w:rPr>
              <w:t xml:space="preserve">Breytingar á </w:t>
            </w:r>
            <w:r w:rsidR="00C908FB">
              <w:rPr>
                <w:b/>
              </w:rPr>
              <w:t>stærð</w:t>
            </w:r>
            <w:r w:rsidR="005A5CA4" w:rsidRPr="00792634">
              <w:rPr>
                <w:b/>
              </w:rPr>
              <w:t xml:space="preserve"> við þvott og þurrkun</w:t>
            </w:r>
          </w:p>
        </w:tc>
        <w:tc>
          <w:tcPr>
            <w:tcW w:w="2304" w:type="dxa"/>
          </w:tcPr>
          <w:p w:rsidR="00C908FB" w:rsidRPr="00792634" w:rsidRDefault="00C908FB" w:rsidP="00C908FB">
            <w:r>
              <w:rPr>
                <w:rFonts w:cs="Times New Roman"/>
              </w:rPr>
              <w:t>±</w:t>
            </w:r>
            <w:r w:rsidRPr="00792634">
              <w:t xml:space="preserve"> 2% fyrir gluggatjöld og húsgagnaefni sem þol</w:t>
            </w:r>
            <w:r>
              <w:t>a</w:t>
            </w:r>
            <w:r w:rsidRPr="00792634">
              <w:t xml:space="preserve"> þvott og er</w:t>
            </w:r>
            <w:r>
              <w:t xml:space="preserve"> hægt að losa.</w:t>
            </w:r>
          </w:p>
          <w:p w:rsidR="005A5CA4" w:rsidRPr="00792634" w:rsidRDefault="00C908FB" w:rsidP="000779BE">
            <w:r>
              <w:t>-</w:t>
            </w:r>
            <w:r w:rsidRPr="00792634">
              <w:t xml:space="preserve"> 8% </w:t>
            </w:r>
            <w:r>
              <w:t>til</w:t>
            </w:r>
            <w:r w:rsidRPr="00792634">
              <w:t xml:space="preserve"> </w:t>
            </w:r>
            <w:r>
              <w:t>+</w:t>
            </w:r>
            <w:r w:rsidRPr="00792634">
              <w:t>4% fyrir a</w:t>
            </w:r>
            <w:r>
              <w:t>nnan ofinn textíl</w:t>
            </w:r>
            <w:r w:rsidRPr="00792634">
              <w:t xml:space="preserve"> og </w:t>
            </w:r>
            <w:r>
              <w:t>endingargóðan óofinn textíl</w:t>
            </w:r>
            <w:r w:rsidRPr="00792634">
              <w:t>, aðrar prjónaðar vörur eða fyrir frott</w:t>
            </w:r>
            <w:r>
              <w:t>é</w:t>
            </w:r>
            <w:r w:rsidR="000779BE">
              <w:t>-</w:t>
            </w:r>
            <w:r w:rsidRPr="00792634">
              <w:t>efni.</w:t>
            </w:r>
          </w:p>
        </w:tc>
        <w:tc>
          <w:tcPr>
            <w:tcW w:w="2304" w:type="dxa"/>
          </w:tcPr>
          <w:p w:rsidR="005A5CA4" w:rsidRPr="00792634" w:rsidRDefault="005A5CA4" w:rsidP="005A5CA4">
            <w:r w:rsidRPr="00792634">
              <w:t>ISO 5077 eða sambærilegt</w:t>
            </w:r>
          </w:p>
        </w:tc>
      </w:tr>
      <w:tr w:rsidR="0027293C" w:rsidRPr="00792634" w:rsidTr="00AC0667">
        <w:tc>
          <w:tcPr>
            <w:tcW w:w="7308" w:type="dxa"/>
            <w:gridSpan w:val="3"/>
          </w:tcPr>
          <w:p w:rsidR="0027293C" w:rsidRPr="00792634" w:rsidRDefault="0027293C" w:rsidP="001B0074">
            <w:r w:rsidRPr="00792634">
              <w:rPr>
                <w:b/>
              </w:rPr>
              <w:t>Staðfesting</w:t>
            </w:r>
            <w:r w:rsidRPr="00792634">
              <w:t>: Allar vörur skulu prófaðar í samræmi við staðal ISO 5077 eða sambærilegt. Vörur sem merktar eru umhverfismerki</w:t>
            </w:r>
            <w:r w:rsidR="001B0074">
              <w:t xml:space="preserve"> (Tegund 1)</w:t>
            </w:r>
            <w:r w:rsidRPr="00792634">
              <w:t xml:space="preserve"> sem uppfylla </w:t>
            </w:r>
            <w:r w:rsidR="001B0074">
              <w:t>ofangreind</w:t>
            </w:r>
            <w:r w:rsidRPr="00792634">
              <w:t xml:space="preserve"> viðmið </w:t>
            </w:r>
            <w:r w:rsidR="001B0074">
              <w:t>eru</w:t>
            </w:r>
            <w:r w:rsidRPr="00792634">
              <w:t xml:space="preserve"> samþykkt. Önnur viðeigandi sönnunargögn svo sem sem önnur textílmerki sem uppfylla tilgreind viðmið</w:t>
            </w:r>
            <w:r w:rsidR="001B0074">
              <w:t>,</w:t>
            </w:r>
            <w:r w:rsidRPr="00792634">
              <w:t xml:space="preserve"> tæknileg málsskjöl frá framleiðanda eða prófunarskýrsla frá viðurkenndum aðila</w:t>
            </w:r>
            <w:r w:rsidR="001B0074">
              <w:t>.</w:t>
            </w:r>
          </w:p>
        </w:tc>
        <w:tc>
          <w:tcPr>
            <w:tcW w:w="6912" w:type="dxa"/>
            <w:gridSpan w:val="3"/>
          </w:tcPr>
          <w:p w:rsidR="0027293C" w:rsidRPr="00792634" w:rsidRDefault="0027293C" w:rsidP="0027293C">
            <w:r w:rsidRPr="00792634">
              <w:rPr>
                <w:b/>
              </w:rPr>
              <w:t>Staðfesting</w:t>
            </w:r>
            <w:r w:rsidRPr="00792634">
              <w:t xml:space="preserve">: </w:t>
            </w:r>
            <w:r w:rsidR="001B0074" w:rsidRPr="00792634">
              <w:t>Allar vörur skulu prófaðar í samræmi við staðal ISO 5077 eða sambærilegt. Vörur sem merktar eru umhverfismerki</w:t>
            </w:r>
            <w:r w:rsidR="001B0074">
              <w:t xml:space="preserve"> (Tegund 1)</w:t>
            </w:r>
            <w:r w:rsidR="001B0074" w:rsidRPr="00792634">
              <w:t xml:space="preserve"> sem uppfylla </w:t>
            </w:r>
            <w:r w:rsidR="001B0074">
              <w:t>ofangreind</w:t>
            </w:r>
            <w:r w:rsidR="001B0074" w:rsidRPr="00792634">
              <w:t xml:space="preserve"> viðmið </w:t>
            </w:r>
            <w:r w:rsidR="001B0074">
              <w:t>eru</w:t>
            </w:r>
            <w:r w:rsidR="001B0074" w:rsidRPr="00792634">
              <w:t xml:space="preserve"> samþykkt. Önnur viðeigandi sönnunargögn svo sem sem önnur textílmerki sem uppfylla tilgreind viðmið</w:t>
            </w:r>
            <w:r w:rsidR="001B0074">
              <w:t>,</w:t>
            </w:r>
            <w:r w:rsidR="001B0074" w:rsidRPr="00792634">
              <w:t xml:space="preserve"> tæknileg málsskjöl frá framleiðanda eða prófunarskýrsla frá viðurkenndum aðila</w:t>
            </w:r>
            <w:r w:rsidR="001B0074">
              <w:t>.</w:t>
            </w:r>
          </w:p>
        </w:tc>
      </w:tr>
      <w:tr w:rsidR="0027293C" w:rsidRPr="00792634" w:rsidTr="00C23973">
        <w:tc>
          <w:tcPr>
            <w:tcW w:w="2436" w:type="dxa"/>
          </w:tcPr>
          <w:p w:rsidR="0027293C" w:rsidRPr="00792634" w:rsidRDefault="0027293C" w:rsidP="0027293C">
            <w:pPr>
              <w:jc w:val="center"/>
              <w:rPr>
                <w:b/>
              </w:rPr>
            </w:pPr>
            <w:r w:rsidRPr="00792634">
              <w:rPr>
                <w:b/>
              </w:rPr>
              <w:t>Breyta</w:t>
            </w:r>
          </w:p>
        </w:tc>
        <w:tc>
          <w:tcPr>
            <w:tcW w:w="2436" w:type="dxa"/>
          </w:tcPr>
          <w:p w:rsidR="0027293C" w:rsidRPr="00792634" w:rsidRDefault="0027293C" w:rsidP="0027293C">
            <w:pPr>
              <w:jc w:val="center"/>
              <w:rPr>
                <w:b/>
              </w:rPr>
            </w:pPr>
            <w:r w:rsidRPr="00792634">
              <w:rPr>
                <w:b/>
              </w:rPr>
              <w:t>Viðmið</w:t>
            </w:r>
          </w:p>
        </w:tc>
        <w:tc>
          <w:tcPr>
            <w:tcW w:w="2436" w:type="dxa"/>
          </w:tcPr>
          <w:p w:rsidR="0027293C" w:rsidRPr="00792634" w:rsidRDefault="0027293C" w:rsidP="0027293C">
            <w:pPr>
              <w:jc w:val="center"/>
              <w:rPr>
                <w:b/>
              </w:rPr>
            </w:pPr>
            <w:r w:rsidRPr="00792634">
              <w:rPr>
                <w:b/>
              </w:rPr>
              <w:t>Prófunaraðferð</w:t>
            </w:r>
          </w:p>
        </w:tc>
        <w:tc>
          <w:tcPr>
            <w:tcW w:w="2304" w:type="dxa"/>
          </w:tcPr>
          <w:p w:rsidR="0027293C" w:rsidRPr="00792634" w:rsidRDefault="0027293C" w:rsidP="0027293C">
            <w:pPr>
              <w:jc w:val="center"/>
              <w:rPr>
                <w:b/>
              </w:rPr>
            </w:pPr>
            <w:r w:rsidRPr="00792634">
              <w:rPr>
                <w:b/>
              </w:rPr>
              <w:t>Breyta</w:t>
            </w:r>
          </w:p>
        </w:tc>
        <w:tc>
          <w:tcPr>
            <w:tcW w:w="2304" w:type="dxa"/>
          </w:tcPr>
          <w:p w:rsidR="0027293C" w:rsidRPr="00792634" w:rsidRDefault="0027293C" w:rsidP="0027293C">
            <w:pPr>
              <w:jc w:val="center"/>
              <w:rPr>
                <w:b/>
              </w:rPr>
            </w:pPr>
            <w:r w:rsidRPr="00792634">
              <w:rPr>
                <w:b/>
              </w:rPr>
              <w:t>Viðmið</w:t>
            </w:r>
          </w:p>
        </w:tc>
        <w:tc>
          <w:tcPr>
            <w:tcW w:w="2304" w:type="dxa"/>
          </w:tcPr>
          <w:p w:rsidR="0027293C" w:rsidRPr="00792634" w:rsidRDefault="0027293C" w:rsidP="0027293C">
            <w:pPr>
              <w:jc w:val="center"/>
              <w:rPr>
                <w:b/>
              </w:rPr>
            </w:pPr>
            <w:r w:rsidRPr="00792634">
              <w:rPr>
                <w:b/>
              </w:rPr>
              <w:t>Prófunaraðferð</w:t>
            </w:r>
          </w:p>
        </w:tc>
      </w:tr>
      <w:tr w:rsidR="004D5968" w:rsidRPr="00792634" w:rsidTr="00C23973">
        <w:tc>
          <w:tcPr>
            <w:tcW w:w="2436" w:type="dxa"/>
          </w:tcPr>
          <w:p w:rsidR="004D5968" w:rsidRPr="00792634" w:rsidRDefault="00D45FD0" w:rsidP="00D45FD0">
            <w:r>
              <w:rPr>
                <w:b/>
              </w:rPr>
              <w:t>9.2</w:t>
            </w:r>
            <w:r w:rsidR="004D5968" w:rsidRPr="00792634">
              <w:rPr>
                <w:b/>
              </w:rPr>
              <w:t xml:space="preserve"> Litheldni í  þvotti</w:t>
            </w:r>
          </w:p>
        </w:tc>
        <w:tc>
          <w:tcPr>
            <w:tcW w:w="2436" w:type="dxa"/>
          </w:tcPr>
          <w:p w:rsidR="004D5968" w:rsidRPr="00792634" w:rsidRDefault="001B0074" w:rsidP="00C30D0D">
            <w:r>
              <w:t>Fyrir litabreytingar: a</w:t>
            </w:r>
            <w:r w:rsidR="004D5968" w:rsidRPr="00792634">
              <w:t xml:space="preserve">ð </w:t>
            </w:r>
            <w:r>
              <w:t>lágmarki</w:t>
            </w:r>
            <w:r w:rsidR="004D5968" w:rsidRPr="00792634">
              <w:t xml:space="preserve"> stig 3</w:t>
            </w:r>
            <w:r>
              <w:t>-</w:t>
            </w:r>
            <w:r w:rsidR="004D5968" w:rsidRPr="00792634">
              <w:t>4</w:t>
            </w:r>
            <w:r>
              <w:t>.</w:t>
            </w:r>
            <w:r w:rsidR="004D5968" w:rsidRPr="00792634">
              <w:t xml:space="preserve"> </w:t>
            </w:r>
          </w:p>
          <w:p w:rsidR="004D5968" w:rsidRPr="00792634" w:rsidRDefault="001B0074" w:rsidP="001B0074">
            <w:r>
              <w:t>Fyrir litun: a</w:t>
            </w:r>
            <w:r w:rsidR="004D5968" w:rsidRPr="00792634">
              <w:t xml:space="preserve">ð </w:t>
            </w:r>
            <w:r>
              <w:t>lágmarki</w:t>
            </w:r>
            <w:r w:rsidR="00792634" w:rsidRPr="00792634">
              <w:t xml:space="preserve"> stig 3</w:t>
            </w:r>
            <w:r>
              <w:t>-</w:t>
            </w:r>
            <w:r w:rsidR="00792634" w:rsidRPr="00792634">
              <w:t>4</w:t>
            </w:r>
            <w:r>
              <w:t>.</w:t>
            </w:r>
            <w:r w:rsidR="004D5968" w:rsidRPr="00792634">
              <w:t xml:space="preserve"> </w:t>
            </w:r>
          </w:p>
        </w:tc>
        <w:tc>
          <w:tcPr>
            <w:tcW w:w="2436" w:type="dxa"/>
          </w:tcPr>
          <w:p w:rsidR="004D5968" w:rsidRPr="00792634" w:rsidRDefault="004D5968" w:rsidP="001B0074">
            <w:r w:rsidRPr="00792634">
              <w:t xml:space="preserve">ISO 105 C06 (einfaldur þvottur við hitastig </w:t>
            </w:r>
            <w:r w:rsidR="001B0074">
              <w:t xml:space="preserve">samkvæmt merkingu á </w:t>
            </w:r>
            <w:r w:rsidRPr="00792634">
              <w:t>vöru</w:t>
            </w:r>
            <w:r w:rsidR="001B0074">
              <w:t>nni</w:t>
            </w:r>
            <w:r w:rsidRPr="00792634">
              <w:t>, með perbóratdufti) eða sambærileg</w:t>
            </w:r>
            <w:r w:rsidR="001B0074">
              <w:t>u</w:t>
            </w:r>
          </w:p>
        </w:tc>
        <w:tc>
          <w:tcPr>
            <w:tcW w:w="2304" w:type="dxa"/>
          </w:tcPr>
          <w:p w:rsidR="004D5968" w:rsidRPr="00792634" w:rsidRDefault="00D45FD0" w:rsidP="00D45FD0">
            <w:r>
              <w:rPr>
                <w:b/>
              </w:rPr>
              <w:t>9.2</w:t>
            </w:r>
            <w:r w:rsidR="004D5968" w:rsidRPr="00792634">
              <w:rPr>
                <w:b/>
              </w:rPr>
              <w:t xml:space="preserve"> Litheldni í  þvotti</w:t>
            </w:r>
          </w:p>
        </w:tc>
        <w:tc>
          <w:tcPr>
            <w:tcW w:w="2304" w:type="dxa"/>
          </w:tcPr>
          <w:p w:rsidR="004D5968" w:rsidRPr="00792634" w:rsidRDefault="001B0074" w:rsidP="004D5968">
            <w:r>
              <w:t>Fyrir litabreytingar: a</w:t>
            </w:r>
            <w:r w:rsidRPr="00792634">
              <w:t xml:space="preserve">ð </w:t>
            </w:r>
            <w:r>
              <w:t>lágmarki</w:t>
            </w:r>
            <w:r w:rsidRPr="00792634">
              <w:t xml:space="preserve"> </w:t>
            </w:r>
            <w:r w:rsidR="00792634" w:rsidRPr="00792634">
              <w:t xml:space="preserve">stig </w:t>
            </w:r>
            <w:r w:rsidR="004D5968" w:rsidRPr="00792634">
              <w:t xml:space="preserve">4 </w:t>
            </w:r>
          </w:p>
          <w:p w:rsidR="004D5968" w:rsidRPr="00792634" w:rsidRDefault="001B0074" w:rsidP="001B0074">
            <w:r>
              <w:t>Fyrir litun: a</w:t>
            </w:r>
            <w:r w:rsidRPr="00792634">
              <w:t xml:space="preserve">ð </w:t>
            </w:r>
            <w:r>
              <w:t>lágmarki</w:t>
            </w:r>
            <w:r w:rsidRPr="00792634">
              <w:t xml:space="preserve"> </w:t>
            </w:r>
            <w:r w:rsidR="00792634" w:rsidRPr="00792634">
              <w:t>stig 4</w:t>
            </w:r>
            <w:r w:rsidR="004D5968" w:rsidRPr="00792634">
              <w:t xml:space="preserve"> </w:t>
            </w:r>
          </w:p>
        </w:tc>
        <w:tc>
          <w:tcPr>
            <w:tcW w:w="2304" w:type="dxa"/>
          </w:tcPr>
          <w:p w:rsidR="004D5968" w:rsidRPr="00792634" w:rsidRDefault="004D5968" w:rsidP="001B0074">
            <w:r w:rsidRPr="00792634">
              <w:t>ISO 105 C06 (</w:t>
            </w:r>
            <w:r w:rsidR="001B0074" w:rsidRPr="00792634">
              <w:t xml:space="preserve">einfaldur þvottur við hitastig </w:t>
            </w:r>
            <w:r w:rsidR="001B0074">
              <w:t xml:space="preserve">samkvæmt merkingu á </w:t>
            </w:r>
            <w:r w:rsidR="001B0074" w:rsidRPr="00792634">
              <w:t>vöru</w:t>
            </w:r>
            <w:r w:rsidR="001B0074">
              <w:t>nni</w:t>
            </w:r>
            <w:r w:rsidR="001B0074" w:rsidRPr="00792634">
              <w:t xml:space="preserve">, </w:t>
            </w:r>
            <w:r w:rsidRPr="00792634">
              <w:t>með perbóratdufti) eða sambærilegt</w:t>
            </w:r>
          </w:p>
        </w:tc>
      </w:tr>
      <w:tr w:rsidR="004D5968" w:rsidRPr="00792634" w:rsidTr="00AC0667">
        <w:tc>
          <w:tcPr>
            <w:tcW w:w="7308" w:type="dxa"/>
            <w:gridSpan w:val="3"/>
          </w:tcPr>
          <w:p w:rsidR="004D5968" w:rsidRPr="00792634" w:rsidRDefault="004D5968" w:rsidP="00A925C1">
            <w:r w:rsidRPr="00792634">
              <w:rPr>
                <w:b/>
              </w:rPr>
              <w:t>Staðfesting</w:t>
            </w:r>
            <w:r w:rsidRPr="00792634">
              <w:t xml:space="preserve">: Allar vörur skulu prófaðar í samræmi við staðal ISO 105 C06 eða sambærilegt. Vörur sem merktar eru umhverfismerki </w:t>
            </w:r>
            <w:r w:rsidR="00A925C1">
              <w:t>(</w:t>
            </w:r>
            <w:r w:rsidR="00A925C1" w:rsidRPr="00792634">
              <w:t>Tegund 1</w:t>
            </w:r>
            <w:r w:rsidR="00A925C1">
              <w:t xml:space="preserve">) </w:t>
            </w:r>
            <w:r w:rsidRPr="00792634">
              <w:t>sem uppfylla tilgreind viðmið skoðast sem samþykkt. Önnur viðeigandi sönnunargögn svo sem sem önnur textílmerki sem uppfylla tilgreind viðmið eða tæknileg málsskjöl frá framleiðanda eða prófunarskýrsla frá viðurkenndum aðila</w:t>
            </w:r>
            <w:r w:rsidR="00A925C1">
              <w:t>.</w:t>
            </w:r>
          </w:p>
        </w:tc>
        <w:tc>
          <w:tcPr>
            <w:tcW w:w="6912" w:type="dxa"/>
            <w:gridSpan w:val="3"/>
          </w:tcPr>
          <w:p w:rsidR="004D5968" w:rsidRPr="00792634" w:rsidRDefault="004D5968" w:rsidP="004D5968">
            <w:r w:rsidRPr="00792634">
              <w:rPr>
                <w:b/>
              </w:rPr>
              <w:t>Staðfesting</w:t>
            </w:r>
            <w:r w:rsidRPr="00792634">
              <w:t xml:space="preserve">: Allar vörur skulu prófaðar í samræmi við staðal ISO 5077 eða sambærilegt. </w:t>
            </w:r>
            <w:r w:rsidR="00A925C1" w:rsidRPr="00792634">
              <w:t xml:space="preserve">Vörur sem merktar eru umhverfismerki </w:t>
            </w:r>
            <w:r w:rsidR="00A925C1">
              <w:t>(</w:t>
            </w:r>
            <w:r w:rsidR="00A925C1" w:rsidRPr="00792634">
              <w:t>Tegund 1</w:t>
            </w:r>
            <w:r w:rsidR="00A925C1">
              <w:t xml:space="preserve">) </w:t>
            </w:r>
            <w:r w:rsidR="00A925C1" w:rsidRPr="00792634">
              <w:t>sem uppfylla tilgreind viðmið skoðast sem samþykkt. Önnur viðeigandi sönnunargögn svo sem sem önnur textílmerki sem uppfylla tilgreind viðmið eða tæknileg málsskjöl frá framleiðanda eða prófunarskýrsla frá viðurkenndum aðila</w:t>
            </w:r>
            <w:r w:rsidR="00A925C1">
              <w:t>.</w:t>
            </w:r>
          </w:p>
        </w:tc>
      </w:tr>
      <w:tr w:rsidR="00CF3DF2" w:rsidRPr="00792634" w:rsidTr="00C23973">
        <w:tc>
          <w:tcPr>
            <w:tcW w:w="2436" w:type="dxa"/>
          </w:tcPr>
          <w:p w:rsidR="00CF3DF2" w:rsidRPr="00792634" w:rsidRDefault="00CF3DF2" w:rsidP="00CF3DF2">
            <w:pPr>
              <w:jc w:val="center"/>
              <w:rPr>
                <w:b/>
              </w:rPr>
            </w:pPr>
            <w:r w:rsidRPr="00792634">
              <w:rPr>
                <w:b/>
              </w:rPr>
              <w:t>Breyta</w:t>
            </w:r>
          </w:p>
        </w:tc>
        <w:tc>
          <w:tcPr>
            <w:tcW w:w="2436" w:type="dxa"/>
          </w:tcPr>
          <w:p w:rsidR="00CF3DF2" w:rsidRPr="00792634" w:rsidRDefault="00CF3DF2" w:rsidP="00CF3DF2">
            <w:pPr>
              <w:jc w:val="center"/>
              <w:rPr>
                <w:b/>
              </w:rPr>
            </w:pPr>
            <w:r w:rsidRPr="00792634">
              <w:rPr>
                <w:b/>
              </w:rPr>
              <w:t>Viðmið</w:t>
            </w:r>
          </w:p>
        </w:tc>
        <w:tc>
          <w:tcPr>
            <w:tcW w:w="2436" w:type="dxa"/>
          </w:tcPr>
          <w:p w:rsidR="00CF3DF2" w:rsidRPr="00792634" w:rsidRDefault="00CF3DF2" w:rsidP="00CF3DF2">
            <w:pPr>
              <w:jc w:val="center"/>
              <w:rPr>
                <w:b/>
              </w:rPr>
            </w:pPr>
            <w:r w:rsidRPr="00792634">
              <w:rPr>
                <w:b/>
              </w:rPr>
              <w:t>Prófunaraðferð</w:t>
            </w:r>
          </w:p>
        </w:tc>
        <w:tc>
          <w:tcPr>
            <w:tcW w:w="2304" w:type="dxa"/>
          </w:tcPr>
          <w:p w:rsidR="00CF3DF2" w:rsidRPr="00792634" w:rsidRDefault="00CF3DF2" w:rsidP="00CF3DF2">
            <w:pPr>
              <w:jc w:val="center"/>
              <w:rPr>
                <w:b/>
              </w:rPr>
            </w:pPr>
            <w:r w:rsidRPr="00792634">
              <w:rPr>
                <w:b/>
              </w:rPr>
              <w:t>Breyta</w:t>
            </w:r>
          </w:p>
        </w:tc>
        <w:tc>
          <w:tcPr>
            <w:tcW w:w="2304" w:type="dxa"/>
          </w:tcPr>
          <w:p w:rsidR="00CF3DF2" w:rsidRPr="00792634" w:rsidRDefault="00CF3DF2" w:rsidP="00CF3DF2">
            <w:pPr>
              <w:jc w:val="center"/>
              <w:rPr>
                <w:b/>
              </w:rPr>
            </w:pPr>
            <w:r w:rsidRPr="00792634">
              <w:rPr>
                <w:b/>
              </w:rPr>
              <w:t>Viðmið</w:t>
            </w:r>
          </w:p>
        </w:tc>
        <w:tc>
          <w:tcPr>
            <w:tcW w:w="2304" w:type="dxa"/>
          </w:tcPr>
          <w:p w:rsidR="00CF3DF2" w:rsidRPr="00792634" w:rsidRDefault="00CF3DF2" w:rsidP="00CF3DF2">
            <w:pPr>
              <w:jc w:val="center"/>
              <w:rPr>
                <w:b/>
              </w:rPr>
            </w:pPr>
            <w:r w:rsidRPr="00792634">
              <w:rPr>
                <w:b/>
              </w:rPr>
              <w:t>Prófunaraðferð</w:t>
            </w:r>
          </w:p>
        </w:tc>
      </w:tr>
      <w:tr w:rsidR="003A511A" w:rsidRPr="004C02F2" w:rsidTr="00C23973">
        <w:tc>
          <w:tcPr>
            <w:tcW w:w="2436" w:type="dxa"/>
          </w:tcPr>
          <w:p w:rsidR="003A511A" w:rsidRPr="00792634" w:rsidRDefault="00D45FD0" w:rsidP="00D45FD0">
            <w:pPr>
              <w:rPr>
                <w:b/>
              </w:rPr>
            </w:pPr>
            <w:r>
              <w:rPr>
                <w:b/>
              </w:rPr>
              <w:t>9.3</w:t>
            </w:r>
            <w:r w:rsidR="003A511A" w:rsidRPr="00792634">
              <w:rPr>
                <w:b/>
              </w:rPr>
              <w:t xml:space="preserve"> Litheldni gagnvart svita (súr, basísk)</w:t>
            </w:r>
          </w:p>
        </w:tc>
        <w:tc>
          <w:tcPr>
            <w:tcW w:w="2436" w:type="dxa"/>
          </w:tcPr>
          <w:p w:rsidR="00D45FD0" w:rsidRPr="00792634" w:rsidRDefault="00D45FD0" w:rsidP="00D45FD0">
            <w:r>
              <w:t>Fyrir litabreytingar og litun: a</w:t>
            </w:r>
            <w:r w:rsidRPr="00792634">
              <w:t xml:space="preserve">ð </w:t>
            </w:r>
            <w:r>
              <w:t>lágmarki</w:t>
            </w:r>
            <w:r w:rsidRPr="00792634">
              <w:t xml:space="preserve"> stig 3</w:t>
            </w:r>
            <w:r>
              <w:t>-</w:t>
            </w:r>
            <w:r w:rsidRPr="00792634">
              <w:t>4</w:t>
            </w:r>
            <w:r>
              <w:t>.</w:t>
            </w:r>
            <w:r w:rsidRPr="00792634">
              <w:t xml:space="preserve"> </w:t>
            </w:r>
          </w:p>
          <w:p w:rsidR="003A511A" w:rsidRPr="00792634" w:rsidRDefault="00D45FD0" w:rsidP="003A511A">
            <w:r>
              <w:t>S</w:t>
            </w:r>
            <w:r w:rsidR="003A511A" w:rsidRPr="00792634">
              <w:t>tig 3 þegar efni eru bæði dökklituð (staðalstyrkur &gt;1/1</w:t>
            </w:r>
            <w:r>
              <w:t>)</w:t>
            </w:r>
            <w:r w:rsidR="003A511A" w:rsidRPr="00792634">
              <w:t xml:space="preserve"> og gerð úr endurunninni ull eða meira en 20% silki.</w:t>
            </w:r>
          </w:p>
        </w:tc>
        <w:tc>
          <w:tcPr>
            <w:tcW w:w="2436" w:type="dxa"/>
          </w:tcPr>
          <w:p w:rsidR="003A511A" w:rsidRPr="00792634" w:rsidRDefault="003A511A" w:rsidP="003A511A">
            <w:r w:rsidRPr="00792634">
              <w:t>ISO 105 E04 eða sambærilegt</w:t>
            </w:r>
          </w:p>
        </w:tc>
        <w:tc>
          <w:tcPr>
            <w:tcW w:w="2304" w:type="dxa"/>
          </w:tcPr>
          <w:p w:rsidR="003A511A" w:rsidRPr="00792634" w:rsidRDefault="00D45FD0" w:rsidP="00D45FD0">
            <w:pPr>
              <w:rPr>
                <w:b/>
              </w:rPr>
            </w:pPr>
            <w:r>
              <w:rPr>
                <w:b/>
              </w:rPr>
              <w:t>9.3</w:t>
            </w:r>
            <w:r w:rsidR="003A511A" w:rsidRPr="00792634">
              <w:rPr>
                <w:b/>
              </w:rPr>
              <w:t xml:space="preserve"> Litheldni gagnvart svita (súr, basísk)</w:t>
            </w:r>
          </w:p>
        </w:tc>
        <w:tc>
          <w:tcPr>
            <w:tcW w:w="2304" w:type="dxa"/>
          </w:tcPr>
          <w:p w:rsidR="003A511A" w:rsidRPr="00792634" w:rsidRDefault="00D45FD0" w:rsidP="003A511A">
            <w:r>
              <w:t>Fyrir litabreytingar og litun: a</w:t>
            </w:r>
            <w:r w:rsidRPr="00792634">
              <w:t xml:space="preserve">ð </w:t>
            </w:r>
            <w:r>
              <w:t>lágmarki</w:t>
            </w:r>
            <w:r w:rsidRPr="00792634">
              <w:t xml:space="preserve"> stig </w:t>
            </w:r>
            <w:r w:rsidR="003A511A" w:rsidRPr="00792634">
              <w:t>4</w:t>
            </w:r>
            <w:r>
              <w:t>.</w:t>
            </w:r>
          </w:p>
          <w:p w:rsidR="003A511A" w:rsidRPr="00792634" w:rsidRDefault="003A511A" w:rsidP="003A511A">
            <w:r w:rsidRPr="00792634">
              <w:t>Stig 3</w:t>
            </w:r>
            <w:r w:rsidR="00792634" w:rsidRPr="00792634">
              <w:t xml:space="preserve"> til 4</w:t>
            </w:r>
            <w:r w:rsidRPr="00792634">
              <w:t xml:space="preserve"> þegar efni eru bæði dökklituð (staðalstyrkur &gt;1/1</w:t>
            </w:r>
            <w:r w:rsidR="00D45FD0">
              <w:t>)</w:t>
            </w:r>
            <w:r w:rsidRPr="00792634">
              <w:t xml:space="preserve"> og gerð úr endurunninni ull eða meira en 20% silki.</w:t>
            </w:r>
          </w:p>
        </w:tc>
        <w:tc>
          <w:tcPr>
            <w:tcW w:w="2304" w:type="dxa"/>
          </w:tcPr>
          <w:p w:rsidR="003A511A" w:rsidRPr="00792634" w:rsidRDefault="003A511A" w:rsidP="003A511A">
            <w:r w:rsidRPr="00792634">
              <w:t>ISO 105 E04 eða sambærilegt</w:t>
            </w:r>
          </w:p>
        </w:tc>
      </w:tr>
      <w:tr w:rsidR="003A511A" w:rsidRPr="004C02F2" w:rsidTr="00AC0667">
        <w:tc>
          <w:tcPr>
            <w:tcW w:w="7308" w:type="dxa"/>
            <w:gridSpan w:val="3"/>
          </w:tcPr>
          <w:p w:rsidR="003A511A" w:rsidRPr="0027293C" w:rsidRDefault="003A511A" w:rsidP="008C041F">
            <w:r w:rsidRPr="0027293C">
              <w:rPr>
                <w:b/>
              </w:rPr>
              <w:t>Staðfesting</w:t>
            </w:r>
            <w:r w:rsidRPr="0027293C">
              <w:t xml:space="preserve">: Allar vörur skulu prófaðar í samræmi við staðal ISO </w:t>
            </w:r>
            <w:r w:rsidR="008C041F">
              <w:t>105 E04</w:t>
            </w:r>
            <w:r w:rsidRPr="0027293C">
              <w:t xml:space="preserve"> eða sambærilegt. </w:t>
            </w:r>
            <w:r w:rsidR="00D45FD0" w:rsidRPr="00792634">
              <w:t xml:space="preserve">Vörur sem merktar eru umhverfismerki </w:t>
            </w:r>
            <w:r w:rsidR="00D45FD0">
              <w:t>(</w:t>
            </w:r>
            <w:r w:rsidR="00D45FD0" w:rsidRPr="00792634">
              <w:t>Tegund 1</w:t>
            </w:r>
            <w:r w:rsidR="00D45FD0">
              <w:t xml:space="preserve">) </w:t>
            </w:r>
            <w:r w:rsidR="00D45FD0" w:rsidRPr="00792634">
              <w:t>sem uppfylla tilgreind viðmið skoðast sem samþykkt. Önnur viðeigandi sönnunargögn svo sem sem önnur textílmerki sem uppfylla tilgreind viðmið eða tæknileg málsskjöl frá framleiðanda eða prófunarskýrsla frá viðurkenndum aðila</w:t>
            </w:r>
            <w:r w:rsidR="00D45FD0">
              <w:t>.</w:t>
            </w:r>
          </w:p>
        </w:tc>
        <w:tc>
          <w:tcPr>
            <w:tcW w:w="6912" w:type="dxa"/>
            <w:gridSpan w:val="3"/>
          </w:tcPr>
          <w:p w:rsidR="003A511A" w:rsidRPr="0027293C" w:rsidRDefault="003A511A" w:rsidP="003A511A">
            <w:r w:rsidRPr="0027293C">
              <w:rPr>
                <w:b/>
              </w:rPr>
              <w:t>Staðfesting</w:t>
            </w:r>
            <w:r w:rsidRPr="0027293C">
              <w:t xml:space="preserve">: Allar vörur skulu prófaðar í samræmi við staðal ISO </w:t>
            </w:r>
            <w:r>
              <w:t>10</w:t>
            </w:r>
            <w:r w:rsidRPr="0027293C">
              <w:t>5</w:t>
            </w:r>
            <w:r w:rsidR="008C041F">
              <w:t xml:space="preserve"> E04</w:t>
            </w:r>
            <w:r w:rsidRPr="0027293C">
              <w:t xml:space="preserve"> eða sambærilegt. </w:t>
            </w:r>
            <w:r w:rsidR="00D45FD0" w:rsidRPr="00792634">
              <w:t xml:space="preserve">Vörur sem merktar eru umhverfismerki </w:t>
            </w:r>
            <w:r w:rsidR="00D45FD0">
              <w:t>(</w:t>
            </w:r>
            <w:r w:rsidR="00D45FD0" w:rsidRPr="00792634">
              <w:t>Tegund 1</w:t>
            </w:r>
            <w:r w:rsidR="00D45FD0">
              <w:t xml:space="preserve">) </w:t>
            </w:r>
            <w:r w:rsidR="00D45FD0" w:rsidRPr="00792634">
              <w:t>sem uppfylla tilgreind viðmið skoðast sem samþykkt. Önnur viðeigandi sönnunargögn svo sem sem önnur textílmerki sem uppfylla tilgreind viðmið eða tæknileg málsskjöl frá framleiðanda eða prófunarskýrsla frá viðurkenndum aðila</w:t>
            </w:r>
            <w:r w:rsidR="00D45FD0">
              <w:t>.</w:t>
            </w:r>
          </w:p>
        </w:tc>
      </w:tr>
      <w:tr w:rsidR="003A511A" w:rsidRPr="00792634" w:rsidTr="00C23973">
        <w:tc>
          <w:tcPr>
            <w:tcW w:w="2436" w:type="dxa"/>
          </w:tcPr>
          <w:p w:rsidR="003A511A" w:rsidRPr="00792634" w:rsidRDefault="003A511A" w:rsidP="003A511A">
            <w:pPr>
              <w:jc w:val="center"/>
              <w:rPr>
                <w:b/>
              </w:rPr>
            </w:pPr>
            <w:r w:rsidRPr="00792634">
              <w:rPr>
                <w:b/>
              </w:rPr>
              <w:t>Breyta</w:t>
            </w:r>
          </w:p>
        </w:tc>
        <w:tc>
          <w:tcPr>
            <w:tcW w:w="2436" w:type="dxa"/>
          </w:tcPr>
          <w:p w:rsidR="003A511A" w:rsidRPr="00792634" w:rsidRDefault="003A511A" w:rsidP="003A511A">
            <w:pPr>
              <w:jc w:val="center"/>
              <w:rPr>
                <w:b/>
              </w:rPr>
            </w:pPr>
            <w:r w:rsidRPr="00792634">
              <w:rPr>
                <w:b/>
              </w:rPr>
              <w:t>Viðmið</w:t>
            </w:r>
          </w:p>
        </w:tc>
        <w:tc>
          <w:tcPr>
            <w:tcW w:w="2436" w:type="dxa"/>
          </w:tcPr>
          <w:p w:rsidR="003A511A" w:rsidRPr="00792634" w:rsidRDefault="003A511A" w:rsidP="003A511A">
            <w:pPr>
              <w:jc w:val="center"/>
              <w:rPr>
                <w:b/>
              </w:rPr>
            </w:pPr>
            <w:r w:rsidRPr="00792634">
              <w:rPr>
                <w:b/>
              </w:rPr>
              <w:t>Prófunaraðferð</w:t>
            </w:r>
          </w:p>
        </w:tc>
        <w:tc>
          <w:tcPr>
            <w:tcW w:w="2304" w:type="dxa"/>
          </w:tcPr>
          <w:p w:rsidR="003A511A" w:rsidRPr="00792634" w:rsidRDefault="003A511A" w:rsidP="003A511A">
            <w:pPr>
              <w:jc w:val="center"/>
              <w:rPr>
                <w:b/>
              </w:rPr>
            </w:pPr>
            <w:r w:rsidRPr="00792634">
              <w:rPr>
                <w:b/>
              </w:rPr>
              <w:t>Breyta</w:t>
            </w:r>
          </w:p>
        </w:tc>
        <w:tc>
          <w:tcPr>
            <w:tcW w:w="2304" w:type="dxa"/>
          </w:tcPr>
          <w:p w:rsidR="003A511A" w:rsidRPr="00792634" w:rsidRDefault="003A511A" w:rsidP="003A511A">
            <w:pPr>
              <w:jc w:val="center"/>
              <w:rPr>
                <w:b/>
              </w:rPr>
            </w:pPr>
            <w:r w:rsidRPr="00792634">
              <w:rPr>
                <w:b/>
              </w:rPr>
              <w:t>Viðmið</w:t>
            </w:r>
          </w:p>
        </w:tc>
        <w:tc>
          <w:tcPr>
            <w:tcW w:w="2304" w:type="dxa"/>
          </w:tcPr>
          <w:p w:rsidR="003A511A" w:rsidRPr="00792634" w:rsidRDefault="003A511A" w:rsidP="003A511A">
            <w:pPr>
              <w:jc w:val="center"/>
              <w:rPr>
                <w:b/>
              </w:rPr>
            </w:pPr>
            <w:r w:rsidRPr="00792634">
              <w:rPr>
                <w:b/>
              </w:rPr>
              <w:t>Prófunaraðferð</w:t>
            </w:r>
          </w:p>
        </w:tc>
      </w:tr>
      <w:tr w:rsidR="008C041F" w:rsidRPr="00792634" w:rsidTr="00C23973">
        <w:tc>
          <w:tcPr>
            <w:tcW w:w="2436" w:type="dxa"/>
          </w:tcPr>
          <w:p w:rsidR="008C041F" w:rsidRPr="00792634" w:rsidRDefault="00D45FD0" w:rsidP="00D45FD0">
            <w:pPr>
              <w:rPr>
                <w:b/>
              </w:rPr>
            </w:pPr>
            <w:r>
              <w:rPr>
                <w:b/>
              </w:rPr>
              <w:t>9.4</w:t>
            </w:r>
            <w:r w:rsidR="008C041F" w:rsidRPr="00792634">
              <w:rPr>
                <w:b/>
              </w:rPr>
              <w:t xml:space="preserve"> Litheldni gagnvart blautum núningi</w:t>
            </w:r>
          </w:p>
        </w:tc>
        <w:tc>
          <w:tcPr>
            <w:tcW w:w="2436" w:type="dxa"/>
          </w:tcPr>
          <w:p w:rsidR="008C041F" w:rsidRPr="00792634" w:rsidRDefault="008C041F" w:rsidP="00C30D0D">
            <w:r w:rsidRPr="00792634">
              <w:t xml:space="preserve">Að </w:t>
            </w:r>
            <w:r w:rsidR="00D45FD0">
              <w:t>lágmarki</w:t>
            </w:r>
            <w:r w:rsidRPr="00792634">
              <w:t xml:space="preserve"> stig 2 til 3</w:t>
            </w:r>
          </w:p>
          <w:p w:rsidR="008C041F" w:rsidRPr="00792634" w:rsidRDefault="008C041F" w:rsidP="00D45FD0">
            <w:r w:rsidRPr="00792634">
              <w:t xml:space="preserve">Stig 2 er leyfilegt fyrir indígólitað </w:t>
            </w:r>
            <w:r w:rsidR="00D45FD0">
              <w:t>gallabuxnaefni</w:t>
            </w:r>
            <w:r w:rsidRPr="00792634">
              <w:t>.</w:t>
            </w:r>
          </w:p>
        </w:tc>
        <w:tc>
          <w:tcPr>
            <w:tcW w:w="2436" w:type="dxa"/>
          </w:tcPr>
          <w:p w:rsidR="008C041F" w:rsidRPr="00792634" w:rsidRDefault="008C041F" w:rsidP="008C041F">
            <w:r w:rsidRPr="00792634">
              <w:t xml:space="preserve">ISO 105 X12 eða sambærilegt </w:t>
            </w:r>
          </w:p>
        </w:tc>
        <w:tc>
          <w:tcPr>
            <w:tcW w:w="2304" w:type="dxa"/>
          </w:tcPr>
          <w:p w:rsidR="008C041F" w:rsidRPr="00792634" w:rsidRDefault="00D45FD0" w:rsidP="00D45FD0">
            <w:pPr>
              <w:rPr>
                <w:b/>
              </w:rPr>
            </w:pPr>
            <w:r>
              <w:rPr>
                <w:b/>
              </w:rPr>
              <w:t>9.4</w:t>
            </w:r>
            <w:r w:rsidR="008C041F" w:rsidRPr="00792634">
              <w:rPr>
                <w:b/>
              </w:rPr>
              <w:t xml:space="preserve"> Litheldni gagnvart blautum núningi</w:t>
            </w:r>
          </w:p>
        </w:tc>
        <w:tc>
          <w:tcPr>
            <w:tcW w:w="2304" w:type="dxa"/>
          </w:tcPr>
          <w:p w:rsidR="008C041F" w:rsidRPr="00792634" w:rsidRDefault="00792634" w:rsidP="008C041F">
            <w:r w:rsidRPr="00792634">
              <w:t xml:space="preserve">Að </w:t>
            </w:r>
            <w:r w:rsidR="00D45FD0">
              <w:t>lágmarki</w:t>
            </w:r>
            <w:r w:rsidRPr="00792634">
              <w:t xml:space="preserve"> stig </w:t>
            </w:r>
            <w:r w:rsidR="008C041F" w:rsidRPr="00792634">
              <w:t>3</w:t>
            </w:r>
          </w:p>
          <w:p w:rsidR="008C041F" w:rsidRPr="00792634" w:rsidRDefault="008C041F" w:rsidP="008C041F">
            <w:r w:rsidRPr="00792634">
              <w:t>Stig 2</w:t>
            </w:r>
            <w:r w:rsidR="00792634" w:rsidRPr="00792634">
              <w:t xml:space="preserve"> til 3</w:t>
            </w:r>
            <w:r w:rsidRPr="00792634">
              <w:t xml:space="preserve"> er leyfilegt fyrir indígólitað </w:t>
            </w:r>
            <w:r w:rsidR="00D45FD0">
              <w:t>gallabuxnaefni</w:t>
            </w:r>
            <w:r w:rsidRPr="00792634">
              <w:t>.</w:t>
            </w:r>
          </w:p>
        </w:tc>
        <w:tc>
          <w:tcPr>
            <w:tcW w:w="2304" w:type="dxa"/>
          </w:tcPr>
          <w:p w:rsidR="008C041F" w:rsidRPr="00792634" w:rsidRDefault="008C041F" w:rsidP="008C041F">
            <w:r w:rsidRPr="00792634">
              <w:t xml:space="preserve">ISO 105 X12 eða sambærilegt </w:t>
            </w:r>
          </w:p>
        </w:tc>
      </w:tr>
      <w:tr w:rsidR="008C041F" w:rsidRPr="00792634" w:rsidTr="00AC0667">
        <w:tc>
          <w:tcPr>
            <w:tcW w:w="7308" w:type="dxa"/>
            <w:gridSpan w:val="3"/>
          </w:tcPr>
          <w:p w:rsidR="008C041F" w:rsidRPr="00792634" w:rsidRDefault="008C041F" w:rsidP="008C041F">
            <w:r w:rsidRPr="00792634">
              <w:rPr>
                <w:b/>
              </w:rPr>
              <w:t>Staðfesting</w:t>
            </w:r>
            <w:r w:rsidRPr="00792634">
              <w:t xml:space="preserve">: Allar vörur skulu prófaðar í samræmi við staðal ISO 105 X12 eða sambærilegt. </w:t>
            </w:r>
            <w:r w:rsidR="00D45FD0" w:rsidRPr="00792634">
              <w:t xml:space="preserve">Vörur sem merktar eru umhverfismerki </w:t>
            </w:r>
            <w:r w:rsidR="00D45FD0">
              <w:t>(</w:t>
            </w:r>
            <w:r w:rsidR="00D45FD0" w:rsidRPr="00792634">
              <w:t>Tegund 1</w:t>
            </w:r>
            <w:r w:rsidR="00D45FD0">
              <w:t xml:space="preserve">) </w:t>
            </w:r>
            <w:r w:rsidR="00D45FD0" w:rsidRPr="00792634">
              <w:t>sem uppfylla tilgreind viðmið skoðast sem samþykkt. Önnur viðeigandi sönnunargögn svo sem sem önnur textílmerki sem uppfylla tilgreind viðmið eða tæknileg málsskjöl frá framleiðanda eða prófunarskýrsla frá viðurkenndum aðila</w:t>
            </w:r>
            <w:r w:rsidR="00D45FD0">
              <w:t>.</w:t>
            </w:r>
          </w:p>
        </w:tc>
        <w:tc>
          <w:tcPr>
            <w:tcW w:w="6912" w:type="dxa"/>
            <w:gridSpan w:val="3"/>
          </w:tcPr>
          <w:p w:rsidR="008C041F" w:rsidRPr="00792634" w:rsidRDefault="008C041F" w:rsidP="008C041F">
            <w:r w:rsidRPr="00792634">
              <w:rPr>
                <w:b/>
              </w:rPr>
              <w:t>Staðfesting</w:t>
            </w:r>
            <w:r w:rsidRPr="00792634">
              <w:t xml:space="preserve">: Allar vörur skulu prófaðar í samræmi við staðal ISO 105 X12 eða sambærilegt. </w:t>
            </w:r>
            <w:r w:rsidR="00D45FD0" w:rsidRPr="00792634">
              <w:t xml:space="preserve">Vörur sem merktar eru umhverfismerki </w:t>
            </w:r>
            <w:r w:rsidR="00D45FD0">
              <w:t>(</w:t>
            </w:r>
            <w:r w:rsidR="00D45FD0" w:rsidRPr="00792634">
              <w:t>Tegund 1</w:t>
            </w:r>
            <w:r w:rsidR="00D45FD0">
              <w:t xml:space="preserve">) </w:t>
            </w:r>
            <w:r w:rsidR="00D45FD0" w:rsidRPr="00792634">
              <w:t>sem uppfylla tilgreind viðmið skoðast sem samþykkt. Önnur viðeigandi sönnunargögn svo sem sem önnur textílmerki sem uppfylla tilgreind viðmið eða tæknileg málsskjöl frá framleiðanda eða prófunarskýrsla frá viðurkenndum aðila</w:t>
            </w:r>
            <w:r w:rsidR="00D45FD0">
              <w:t>.</w:t>
            </w:r>
          </w:p>
        </w:tc>
      </w:tr>
      <w:tr w:rsidR="008C041F" w:rsidRPr="00792634" w:rsidTr="00B435D4">
        <w:tc>
          <w:tcPr>
            <w:tcW w:w="2436" w:type="dxa"/>
          </w:tcPr>
          <w:p w:rsidR="008C041F" w:rsidRPr="00792634" w:rsidRDefault="008C041F" w:rsidP="008C041F">
            <w:pPr>
              <w:jc w:val="center"/>
              <w:rPr>
                <w:b/>
              </w:rPr>
            </w:pPr>
            <w:r w:rsidRPr="00792634">
              <w:rPr>
                <w:b/>
              </w:rPr>
              <w:t>Breyta</w:t>
            </w:r>
          </w:p>
        </w:tc>
        <w:tc>
          <w:tcPr>
            <w:tcW w:w="2436" w:type="dxa"/>
          </w:tcPr>
          <w:p w:rsidR="008C041F" w:rsidRPr="00792634" w:rsidRDefault="008C041F" w:rsidP="008C041F">
            <w:pPr>
              <w:jc w:val="center"/>
              <w:rPr>
                <w:b/>
              </w:rPr>
            </w:pPr>
            <w:r w:rsidRPr="00792634">
              <w:rPr>
                <w:b/>
              </w:rPr>
              <w:t>Viðmið</w:t>
            </w:r>
          </w:p>
        </w:tc>
        <w:tc>
          <w:tcPr>
            <w:tcW w:w="2436" w:type="dxa"/>
          </w:tcPr>
          <w:p w:rsidR="008C041F" w:rsidRPr="00792634" w:rsidRDefault="008C041F" w:rsidP="008C041F">
            <w:pPr>
              <w:jc w:val="center"/>
              <w:rPr>
                <w:b/>
              </w:rPr>
            </w:pPr>
            <w:r w:rsidRPr="00792634">
              <w:rPr>
                <w:b/>
              </w:rPr>
              <w:t>Prófunaraðferð</w:t>
            </w:r>
          </w:p>
        </w:tc>
        <w:tc>
          <w:tcPr>
            <w:tcW w:w="2304" w:type="dxa"/>
          </w:tcPr>
          <w:p w:rsidR="008C041F" w:rsidRPr="00792634" w:rsidRDefault="008C041F" w:rsidP="008C041F">
            <w:pPr>
              <w:jc w:val="center"/>
              <w:rPr>
                <w:b/>
              </w:rPr>
            </w:pPr>
            <w:r w:rsidRPr="00792634">
              <w:rPr>
                <w:b/>
              </w:rPr>
              <w:t>Breyta</w:t>
            </w:r>
          </w:p>
        </w:tc>
        <w:tc>
          <w:tcPr>
            <w:tcW w:w="2304" w:type="dxa"/>
          </w:tcPr>
          <w:p w:rsidR="008C041F" w:rsidRPr="00792634" w:rsidRDefault="008C041F" w:rsidP="008C041F">
            <w:pPr>
              <w:jc w:val="center"/>
              <w:rPr>
                <w:b/>
              </w:rPr>
            </w:pPr>
            <w:r w:rsidRPr="00792634">
              <w:rPr>
                <w:b/>
              </w:rPr>
              <w:t>Viðmið</w:t>
            </w:r>
          </w:p>
        </w:tc>
        <w:tc>
          <w:tcPr>
            <w:tcW w:w="2304" w:type="dxa"/>
          </w:tcPr>
          <w:p w:rsidR="008C041F" w:rsidRPr="00792634" w:rsidRDefault="008C041F" w:rsidP="008C041F">
            <w:pPr>
              <w:jc w:val="center"/>
              <w:rPr>
                <w:b/>
              </w:rPr>
            </w:pPr>
            <w:r w:rsidRPr="00792634">
              <w:rPr>
                <w:b/>
              </w:rPr>
              <w:t>Prófunaraðferð</w:t>
            </w:r>
          </w:p>
        </w:tc>
      </w:tr>
      <w:tr w:rsidR="008C041F" w:rsidRPr="004C02F2" w:rsidTr="00B435D4">
        <w:tc>
          <w:tcPr>
            <w:tcW w:w="2436" w:type="dxa"/>
          </w:tcPr>
          <w:p w:rsidR="008C041F" w:rsidRPr="00792634" w:rsidRDefault="00D45FD0" w:rsidP="00D45FD0">
            <w:pPr>
              <w:rPr>
                <w:b/>
              </w:rPr>
            </w:pPr>
            <w:r>
              <w:rPr>
                <w:b/>
              </w:rPr>
              <w:t>9.5</w:t>
            </w:r>
            <w:r w:rsidR="008C041F" w:rsidRPr="00792634">
              <w:rPr>
                <w:b/>
              </w:rPr>
              <w:t xml:space="preserve"> Litheldni gagnvart þurrum núningi</w:t>
            </w:r>
          </w:p>
        </w:tc>
        <w:tc>
          <w:tcPr>
            <w:tcW w:w="2436" w:type="dxa"/>
          </w:tcPr>
          <w:p w:rsidR="008C041F" w:rsidRPr="00792634" w:rsidRDefault="008C041F" w:rsidP="00C30D0D">
            <w:r w:rsidRPr="00792634">
              <w:t xml:space="preserve">Að </w:t>
            </w:r>
            <w:r w:rsidR="00D45FD0">
              <w:t>lágmarki</w:t>
            </w:r>
            <w:r w:rsidRPr="00792634">
              <w:t xml:space="preserve"> stig 4</w:t>
            </w:r>
          </w:p>
          <w:p w:rsidR="008C041F" w:rsidRPr="00792634" w:rsidRDefault="008C041F" w:rsidP="00C30D0D">
            <w:r w:rsidRPr="00792634">
              <w:t xml:space="preserve">Stig 3 til 4 er leyfilegt fyrir indígólitað </w:t>
            </w:r>
            <w:r w:rsidR="00D45FD0">
              <w:t>gallabuxnaefni</w:t>
            </w:r>
            <w:r w:rsidRPr="00792634">
              <w:t>.</w:t>
            </w:r>
          </w:p>
        </w:tc>
        <w:tc>
          <w:tcPr>
            <w:tcW w:w="2436" w:type="dxa"/>
          </w:tcPr>
          <w:p w:rsidR="008C041F" w:rsidRPr="00792634" w:rsidRDefault="008C041F" w:rsidP="008C041F">
            <w:r w:rsidRPr="00792634">
              <w:t>ISO 105 X12 eða sambærilegt</w:t>
            </w:r>
          </w:p>
        </w:tc>
        <w:tc>
          <w:tcPr>
            <w:tcW w:w="2304" w:type="dxa"/>
          </w:tcPr>
          <w:p w:rsidR="008C041F" w:rsidRPr="00792634" w:rsidRDefault="00D45FD0" w:rsidP="00D45FD0">
            <w:pPr>
              <w:rPr>
                <w:b/>
              </w:rPr>
            </w:pPr>
            <w:r>
              <w:rPr>
                <w:b/>
              </w:rPr>
              <w:t>9.5</w:t>
            </w:r>
            <w:r w:rsidR="008C041F" w:rsidRPr="00792634">
              <w:rPr>
                <w:b/>
              </w:rPr>
              <w:t xml:space="preserve"> Litheldni gagnvart þurrum núningi</w:t>
            </w:r>
          </w:p>
        </w:tc>
        <w:tc>
          <w:tcPr>
            <w:tcW w:w="2304" w:type="dxa"/>
          </w:tcPr>
          <w:p w:rsidR="008C041F" w:rsidRPr="00792634" w:rsidRDefault="008C041F" w:rsidP="008C041F">
            <w:r w:rsidRPr="00792634">
              <w:t xml:space="preserve">Að </w:t>
            </w:r>
            <w:r w:rsidR="00D45FD0">
              <w:t>lágmarki</w:t>
            </w:r>
            <w:r w:rsidRPr="00792634">
              <w:t xml:space="preserve"> stig 4</w:t>
            </w:r>
            <w:r w:rsidR="00D45FD0">
              <w:t>-</w:t>
            </w:r>
            <w:r w:rsidR="00792634" w:rsidRPr="00792634">
              <w:t>5</w:t>
            </w:r>
          </w:p>
          <w:p w:rsidR="008C041F" w:rsidRPr="00792634" w:rsidRDefault="00792634" w:rsidP="008C041F">
            <w:r w:rsidRPr="00792634">
              <w:t>Stig</w:t>
            </w:r>
            <w:r w:rsidR="008C041F" w:rsidRPr="00792634">
              <w:t xml:space="preserve"> 4 er leyfilegt fyrir indígólitað </w:t>
            </w:r>
            <w:r w:rsidR="00D45FD0">
              <w:t>gallabuxnaefni</w:t>
            </w:r>
            <w:r w:rsidR="008C041F" w:rsidRPr="00792634">
              <w:t>.</w:t>
            </w:r>
          </w:p>
        </w:tc>
        <w:tc>
          <w:tcPr>
            <w:tcW w:w="2304" w:type="dxa"/>
          </w:tcPr>
          <w:p w:rsidR="008C041F" w:rsidRPr="00792634" w:rsidRDefault="008C041F" w:rsidP="008C041F">
            <w:r w:rsidRPr="00792634">
              <w:t>ISO 105 X12 eða sambærilegt</w:t>
            </w:r>
          </w:p>
        </w:tc>
      </w:tr>
      <w:tr w:rsidR="008C041F" w:rsidRPr="004C02F2" w:rsidTr="00AC0667">
        <w:tc>
          <w:tcPr>
            <w:tcW w:w="7308" w:type="dxa"/>
            <w:gridSpan w:val="3"/>
          </w:tcPr>
          <w:p w:rsidR="008C041F" w:rsidRPr="0027293C" w:rsidRDefault="008C041F" w:rsidP="008C041F">
            <w:r w:rsidRPr="0027293C">
              <w:rPr>
                <w:b/>
              </w:rPr>
              <w:t>Staðfesting</w:t>
            </w:r>
            <w:r w:rsidRPr="0027293C">
              <w:t xml:space="preserve">: Allar vörur skulu prófaðar í samræmi við staðal ISO </w:t>
            </w:r>
            <w:r>
              <w:t>105 X12</w:t>
            </w:r>
            <w:r w:rsidRPr="0027293C">
              <w:t xml:space="preserve"> eða sambærilegt. </w:t>
            </w:r>
            <w:r w:rsidR="00D45FD0" w:rsidRPr="00792634">
              <w:t xml:space="preserve">Vörur sem merktar eru umhverfismerki </w:t>
            </w:r>
            <w:r w:rsidR="00D45FD0">
              <w:t>(</w:t>
            </w:r>
            <w:r w:rsidR="00D45FD0" w:rsidRPr="00792634">
              <w:t>Tegund 1</w:t>
            </w:r>
            <w:r w:rsidR="00D45FD0">
              <w:t xml:space="preserve">) </w:t>
            </w:r>
            <w:r w:rsidR="00D45FD0" w:rsidRPr="00792634">
              <w:t>sem uppfylla tilgreind viðmið skoðast sem samþykkt. Önnur viðeigandi sönnunargögn svo sem sem önnur textílmerki sem uppfylla tilgreind viðmið eða tæknileg málsskjöl frá framleiðanda eða prófunarskýrsla frá viðurkenndum aðila</w:t>
            </w:r>
            <w:r w:rsidR="00D45FD0">
              <w:t>.</w:t>
            </w:r>
          </w:p>
        </w:tc>
        <w:tc>
          <w:tcPr>
            <w:tcW w:w="6912" w:type="dxa"/>
            <w:gridSpan w:val="3"/>
          </w:tcPr>
          <w:p w:rsidR="008C041F" w:rsidRPr="0027293C" w:rsidRDefault="008C041F" w:rsidP="008C041F">
            <w:r w:rsidRPr="0027293C">
              <w:rPr>
                <w:b/>
              </w:rPr>
              <w:t>Staðfesting</w:t>
            </w:r>
            <w:r w:rsidRPr="0027293C">
              <w:t xml:space="preserve">: Allar vörur skulu prófaðar í samræmi við staðal ISO </w:t>
            </w:r>
            <w:r>
              <w:t>105 X12</w:t>
            </w:r>
            <w:r w:rsidRPr="0027293C">
              <w:t xml:space="preserve"> eða sambærilegt. </w:t>
            </w:r>
            <w:r w:rsidR="00D45FD0" w:rsidRPr="00792634">
              <w:t xml:space="preserve">Vörur sem merktar eru umhverfismerki </w:t>
            </w:r>
            <w:r w:rsidR="00D45FD0">
              <w:t>(</w:t>
            </w:r>
            <w:r w:rsidR="00D45FD0" w:rsidRPr="00792634">
              <w:t>Tegund 1</w:t>
            </w:r>
            <w:r w:rsidR="00D45FD0">
              <w:t xml:space="preserve">) </w:t>
            </w:r>
            <w:r w:rsidR="00D45FD0" w:rsidRPr="00792634">
              <w:t>sem uppfylla tilgreind viðmið skoðast sem samþykkt. Önnur viðeigandi sönnunargögn svo sem sem önnur textílmerki sem uppfylla tilgreind viðmið eða tæknileg málsskjöl frá framleiðanda eða prófunarskýrsla frá viðurkenndum aðila</w:t>
            </w:r>
            <w:r w:rsidR="00D45FD0">
              <w:t>.</w:t>
            </w:r>
          </w:p>
        </w:tc>
      </w:tr>
      <w:tr w:rsidR="008C041F" w:rsidRPr="00792634" w:rsidTr="007312BA">
        <w:tc>
          <w:tcPr>
            <w:tcW w:w="2436" w:type="dxa"/>
          </w:tcPr>
          <w:p w:rsidR="008C041F" w:rsidRPr="00792634" w:rsidRDefault="008C041F" w:rsidP="008C041F">
            <w:pPr>
              <w:jc w:val="center"/>
              <w:rPr>
                <w:b/>
              </w:rPr>
            </w:pPr>
            <w:r w:rsidRPr="00792634">
              <w:rPr>
                <w:b/>
              </w:rPr>
              <w:t>Breyta</w:t>
            </w:r>
          </w:p>
        </w:tc>
        <w:tc>
          <w:tcPr>
            <w:tcW w:w="2436" w:type="dxa"/>
          </w:tcPr>
          <w:p w:rsidR="008C041F" w:rsidRPr="00792634" w:rsidRDefault="008C041F" w:rsidP="008C041F">
            <w:pPr>
              <w:jc w:val="center"/>
              <w:rPr>
                <w:b/>
              </w:rPr>
            </w:pPr>
            <w:r w:rsidRPr="00792634">
              <w:rPr>
                <w:b/>
              </w:rPr>
              <w:t>Viðmið</w:t>
            </w:r>
          </w:p>
        </w:tc>
        <w:tc>
          <w:tcPr>
            <w:tcW w:w="2436" w:type="dxa"/>
          </w:tcPr>
          <w:p w:rsidR="008C041F" w:rsidRPr="00792634" w:rsidRDefault="008C041F" w:rsidP="008C041F">
            <w:pPr>
              <w:jc w:val="center"/>
              <w:rPr>
                <w:b/>
              </w:rPr>
            </w:pPr>
            <w:r w:rsidRPr="00792634">
              <w:rPr>
                <w:b/>
              </w:rPr>
              <w:t>Prófunaraðferð</w:t>
            </w:r>
          </w:p>
        </w:tc>
        <w:tc>
          <w:tcPr>
            <w:tcW w:w="2304" w:type="dxa"/>
          </w:tcPr>
          <w:p w:rsidR="008C041F" w:rsidRPr="00792634" w:rsidRDefault="008C041F" w:rsidP="008C041F">
            <w:pPr>
              <w:jc w:val="center"/>
              <w:rPr>
                <w:b/>
              </w:rPr>
            </w:pPr>
            <w:r w:rsidRPr="00792634">
              <w:rPr>
                <w:b/>
              </w:rPr>
              <w:t>Breyta</w:t>
            </w:r>
          </w:p>
        </w:tc>
        <w:tc>
          <w:tcPr>
            <w:tcW w:w="2304" w:type="dxa"/>
          </w:tcPr>
          <w:p w:rsidR="008C041F" w:rsidRPr="00792634" w:rsidRDefault="008C041F" w:rsidP="008C041F">
            <w:pPr>
              <w:jc w:val="center"/>
              <w:rPr>
                <w:b/>
              </w:rPr>
            </w:pPr>
            <w:r w:rsidRPr="00792634">
              <w:rPr>
                <w:b/>
              </w:rPr>
              <w:t>Viðmið</w:t>
            </w:r>
          </w:p>
        </w:tc>
        <w:tc>
          <w:tcPr>
            <w:tcW w:w="2304" w:type="dxa"/>
          </w:tcPr>
          <w:p w:rsidR="008C041F" w:rsidRPr="00792634" w:rsidRDefault="008C041F" w:rsidP="008C041F">
            <w:pPr>
              <w:jc w:val="center"/>
              <w:rPr>
                <w:b/>
              </w:rPr>
            </w:pPr>
            <w:r w:rsidRPr="00792634">
              <w:rPr>
                <w:b/>
              </w:rPr>
              <w:t>Prófunaraðferð</w:t>
            </w:r>
          </w:p>
        </w:tc>
      </w:tr>
      <w:tr w:rsidR="00792634" w:rsidRPr="004C02F2" w:rsidTr="007312BA">
        <w:tc>
          <w:tcPr>
            <w:tcW w:w="2436" w:type="dxa"/>
          </w:tcPr>
          <w:p w:rsidR="00792634" w:rsidRPr="00792634" w:rsidRDefault="00D45FD0" w:rsidP="00D45FD0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9.6</w:t>
            </w:r>
            <w:r w:rsidR="00792634" w:rsidRPr="00792634">
              <w:rPr>
                <w:rFonts w:cs="Times New Roman"/>
                <w:b/>
                <w:bCs/>
                <w:sz w:val="22"/>
              </w:rPr>
              <w:t xml:space="preserve"> Litheldni gagnvart ljósi</w:t>
            </w:r>
          </w:p>
        </w:tc>
        <w:tc>
          <w:tcPr>
            <w:tcW w:w="2436" w:type="dxa"/>
          </w:tcPr>
          <w:p w:rsidR="00792634" w:rsidRPr="00792634" w:rsidRDefault="00F81BF4" w:rsidP="00C90341">
            <w:r>
              <w:t>E</w:t>
            </w:r>
            <w:r w:rsidR="00792634" w:rsidRPr="00792634">
              <w:t xml:space="preserve">fni </w:t>
            </w:r>
            <w:r>
              <w:t xml:space="preserve">fyrir </w:t>
            </w:r>
            <w:r w:rsidR="00792634" w:rsidRPr="00792634">
              <w:t xml:space="preserve">húsgögn, gluggatjöld og veggtjöld, að </w:t>
            </w:r>
            <w:r>
              <w:t>lágmarki</w:t>
            </w:r>
            <w:r w:rsidR="00792634" w:rsidRPr="00792634">
              <w:t xml:space="preserve"> stig 4</w:t>
            </w:r>
            <w:r>
              <w:t>-</w:t>
            </w:r>
            <w:r w:rsidR="00792634" w:rsidRPr="00792634">
              <w:t xml:space="preserve">5. </w:t>
            </w:r>
          </w:p>
          <w:p w:rsidR="00792634" w:rsidRPr="00792634" w:rsidRDefault="00792634" w:rsidP="00C90341">
            <w:r w:rsidRPr="00792634">
              <w:t xml:space="preserve">Fyrir allar aðrar vörur að </w:t>
            </w:r>
            <w:r w:rsidR="00F81BF4">
              <w:t>lágmarki</w:t>
            </w:r>
            <w:r w:rsidRPr="00792634">
              <w:t xml:space="preserve"> stig 4. </w:t>
            </w:r>
          </w:p>
          <w:p w:rsidR="00792634" w:rsidRPr="00792634" w:rsidRDefault="00792634" w:rsidP="00C90341">
            <w:r w:rsidRPr="00792634">
              <w:t>Stig 4 er leyf</w:t>
            </w:r>
            <w:r w:rsidR="00F81BF4">
              <w:t>ilegt</w:t>
            </w:r>
            <w:r w:rsidRPr="00792634">
              <w:t xml:space="preserve"> þegar efni fyrir húsgögn, gluggatjöld og veggtjöld eru bæði ljóslituð (staðalstyrkur &lt; 1/12) og gerð úr meira en 20% ull og öðrum hyrnistrefjum</w:t>
            </w:r>
            <w:bookmarkStart w:id="0" w:name="_GoBack"/>
            <w:bookmarkEnd w:id="0"/>
            <w:r w:rsidRPr="00792634">
              <w:t xml:space="preserve">, eða meira en 20% silki eða meira en 20% lín eða öðrum basttrefjum. </w:t>
            </w:r>
          </w:p>
          <w:p w:rsidR="00792634" w:rsidRPr="00792634" w:rsidRDefault="00792634" w:rsidP="00C90341"/>
        </w:tc>
        <w:tc>
          <w:tcPr>
            <w:tcW w:w="2436" w:type="dxa"/>
          </w:tcPr>
          <w:p w:rsidR="00792634" w:rsidRPr="00792634" w:rsidRDefault="00792634" w:rsidP="00AF1027">
            <w:r w:rsidRPr="00792634">
              <w:t>ISO 105 B02 eða sambærilegt</w:t>
            </w:r>
          </w:p>
        </w:tc>
        <w:tc>
          <w:tcPr>
            <w:tcW w:w="2304" w:type="dxa"/>
          </w:tcPr>
          <w:p w:rsidR="00792634" w:rsidRPr="00792634" w:rsidRDefault="00D45FD0" w:rsidP="00D45FD0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9.6</w:t>
            </w:r>
            <w:r w:rsidR="00792634" w:rsidRPr="00792634">
              <w:rPr>
                <w:rFonts w:cs="Times New Roman"/>
                <w:b/>
                <w:bCs/>
                <w:sz w:val="22"/>
              </w:rPr>
              <w:t xml:space="preserve"> Litheldni gagnvart ljósi</w:t>
            </w:r>
          </w:p>
        </w:tc>
        <w:tc>
          <w:tcPr>
            <w:tcW w:w="2304" w:type="dxa"/>
          </w:tcPr>
          <w:p w:rsidR="00792634" w:rsidRPr="00792634" w:rsidRDefault="00F81BF4" w:rsidP="00236168">
            <w:r>
              <w:t>E</w:t>
            </w:r>
            <w:r w:rsidRPr="00792634">
              <w:t xml:space="preserve">fni </w:t>
            </w:r>
            <w:r>
              <w:t xml:space="preserve">fyrir </w:t>
            </w:r>
            <w:r w:rsidRPr="00792634">
              <w:t xml:space="preserve">húsgögn, gluggatjöld og veggtjöld, að </w:t>
            </w:r>
            <w:r>
              <w:t>lágmarki</w:t>
            </w:r>
            <w:r w:rsidRPr="00792634">
              <w:t xml:space="preserve"> stig 5.</w:t>
            </w:r>
            <w:r w:rsidR="00792634" w:rsidRPr="00792634">
              <w:t xml:space="preserve"> </w:t>
            </w:r>
          </w:p>
          <w:p w:rsidR="00792634" w:rsidRPr="00792634" w:rsidRDefault="00792634" w:rsidP="00236168">
            <w:r w:rsidRPr="00792634">
              <w:t xml:space="preserve">Fyrir allar aðrar vörur að </w:t>
            </w:r>
            <w:r w:rsidR="00F81BF4">
              <w:t>lágmarki</w:t>
            </w:r>
            <w:r w:rsidRPr="00792634">
              <w:t xml:space="preserve"> stig 4 til 5. </w:t>
            </w:r>
          </w:p>
          <w:p w:rsidR="00792634" w:rsidRPr="00792634" w:rsidRDefault="00792634" w:rsidP="00236168">
            <w:r w:rsidRPr="00792634">
              <w:t>Stig 4</w:t>
            </w:r>
            <w:r w:rsidR="00F81BF4">
              <w:t>-</w:t>
            </w:r>
            <w:r w:rsidRPr="00792634">
              <w:t>5 er</w:t>
            </w:r>
            <w:r w:rsidR="00F81BF4">
              <w:t>u</w:t>
            </w:r>
            <w:r w:rsidRPr="00792634">
              <w:t xml:space="preserve"> leyf</w:t>
            </w:r>
            <w:r w:rsidR="00F81BF4">
              <w:t>ileg</w:t>
            </w:r>
            <w:r w:rsidRPr="00792634">
              <w:t xml:space="preserve"> þegar efni fyrir húsgögn, gluggatjöld og veggtjöld eru bæði ljóslituð (staðalstyrkur &lt; 1/12) og gerð úr meira en 20% ull og öðrum hyrnistrefjum, eða meira en 20% silki eða meira en 20% lín eða öðrum basttrefjum. </w:t>
            </w:r>
          </w:p>
          <w:p w:rsidR="00792634" w:rsidRPr="00792634" w:rsidRDefault="00792634" w:rsidP="00236168"/>
        </w:tc>
        <w:tc>
          <w:tcPr>
            <w:tcW w:w="2304" w:type="dxa"/>
          </w:tcPr>
          <w:p w:rsidR="00792634" w:rsidRPr="00792634" w:rsidRDefault="00792634" w:rsidP="00236168">
            <w:r w:rsidRPr="00792634">
              <w:t>ISO 105 B02 eða sambærilegt</w:t>
            </w:r>
          </w:p>
        </w:tc>
      </w:tr>
      <w:tr w:rsidR="00792634" w:rsidRPr="004C02F2" w:rsidTr="0096311A"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:rsidR="00792634" w:rsidRPr="0027293C" w:rsidRDefault="00792634" w:rsidP="00236168">
            <w:r w:rsidRPr="0027293C">
              <w:rPr>
                <w:b/>
              </w:rPr>
              <w:t>Staðfesting</w:t>
            </w:r>
            <w:r w:rsidRPr="0027293C">
              <w:t xml:space="preserve">: Allar vörur skulu prófaðar í samræmi við staðal ISO </w:t>
            </w:r>
            <w:r>
              <w:t>105 X12</w:t>
            </w:r>
            <w:r w:rsidRPr="0027293C">
              <w:t xml:space="preserve"> eða sambærilegt. </w:t>
            </w:r>
            <w:r w:rsidR="0080025A" w:rsidRPr="00792634">
              <w:t xml:space="preserve">Vörur sem merktar eru umhverfismerki </w:t>
            </w:r>
            <w:r w:rsidR="0080025A">
              <w:t>(</w:t>
            </w:r>
            <w:r w:rsidR="0080025A" w:rsidRPr="00792634">
              <w:t>Tegund 1</w:t>
            </w:r>
            <w:r w:rsidR="0080025A">
              <w:t xml:space="preserve">) </w:t>
            </w:r>
            <w:r w:rsidR="0080025A" w:rsidRPr="00792634">
              <w:t>sem uppfylla tilgreind viðmið skoðast sem samþykkt. Önnur viðeigandi sönnunargögn svo sem sem önnur textílmerki sem uppfylla tilgreind viðmið eða tæknileg málsskjöl frá framleiðanda eða prófunarskýrsla frá viðurkenndum aðila</w:t>
            </w:r>
            <w:r w:rsidR="0080025A">
              <w:t>.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:rsidR="00792634" w:rsidRPr="0027293C" w:rsidRDefault="00792634" w:rsidP="00236168">
            <w:r w:rsidRPr="0027293C">
              <w:rPr>
                <w:b/>
              </w:rPr>
              <w:t>Staðfesting</w:t>
            </w:r>
            <w:r w:rsidRPr="0027293C">
              <w:t xml:space="preserve">: Allar vörur skulu prófaðar í samræmi við staðal ISO </w:t>
            </w:r>
            <w:r>
              <w:t>105 X12</w:t>
            </w:r>
            <w:r w:rsidRPr="0027293C">
              <w:t xml:space="preserve"> eða sambærilegt. </w:t>
            </w:r>
            <w:r w:rsidR="0080025A" w:rsidRPr="00792634">
              <w:t xml:space="preserve">Vörur sem merktar eru umhverfismerki </w:t>
            </w:r>
            <w:r w:rsidR="0080025A">
              <w:t>(</w:t>
            </w:r>
            <w:r w:rsidR="0080025A" w:rsidRPr="00792634">
              <w:t>Tegund 1</w:t>
            </w:r>
            <w:r w:rsidR="0080025A">
              <w:t xml:space="preserve">) </w:t>
            </w:r>
            <w:r w:rsidR="0080025A" w:rsidRPr="00792634">
              <w:t>sem uppfylla tilgreind viðmið skoðast sem samþykkt. Önnur viðeigandi sönnunargögn svo sem sem önnur textílmerki sem uppfylla tilgreind viðmið eða tæknileg málsskjöl frá framleiðanda eða prófunarskýrsla frá viðurkenndum aðila</w:t>
            </w:r>
            <w:r w:rsidR="0080025A">
              <w:t>.</w:t>
            </w:r>
          </w:p>
        </w:tc>
      </w:tr>
      <w:tr w:rsidR="003A511A" w:rsidRPr="004C02F2" w:rsidTr="00F934B8">
        <w:trPr>
          <w:trHeight w:val="364"/>
        </w:trPr>
        <w:tc>
          <w:tcPr>
            <w:tcW w:w="7308" w:type="dxa"/>
            <w:gridSpan w:val="3"/>
            <w:shd w:val="clear" w:color="auto" w:fill="92D050"/>
          </w:tcPr>
          <w:p w:rsidR="003A511A" w:rsidRDefault="003A511A" w:rsidP="00C04B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MATSSKILYRÐI</w:t>
            </w:r>
          </w:p>
        </w:tc>
        <w:tc>
          <w:tcPr>
            <w:tcW w:w="6912" w:type="dxa"/>
            <w:gridSpan w:val="3"/>
            <w:shd w:val="clear" w:color="auto" w:fill="92D050"/>
          </w:tcPr>
          <w:p w:rsidR="003A511A" w:rsidRDefault="003A511A" w:rsidP="00C04B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MATSSKILYRÐI</w:t>
            </w:r>
          </w:p>
        </w:tc>
      </w:tr>
      <w:tr w:rsidR="003A511A" w:rsidRPr="004C02F2" w:rsidTr="007312BA">
        <w:tc>
          <w:tcPr>
            <w:tcW w:w="7308" w:type="dxa"/>
            <w:gridSpan w:val="3"/>
            <w:vAlign w:val="center"/>
          </w:tcPr>
          <w:p w:rsidR="003A511A" w:rsidRPr="007A1FD3" w:rsidRDefault="003A511A" w:rsidP="007312BA">
            <w:pPr>
              <w:spacing w:before="120"/>
              <w:rPr>
                <w:b/>
              </w:rPr>
            </w:pPr>
            <w:r w:rsidRPr="002F4677">
              <w:rPr>
                <w:b/>
                <w:lang w:eastAsia="da-DK" w:bidi="hi-IN"/>
              </w:rPr>
              <w:t>1.</w:t>
            </w:r>
            <w:r>
              <w:rPr>
                <w:lang w:eastAsia="da-DK" w:bidi="hi-IN"/>
              </w:rPr>
              <w:t xml:space="preserve"> </w:t>
            </w:r>
            <w:r w:rsidRPr="007A1FD3">
              <w:rPr>
                <w:b/>
              </w:rPr>
              <w:t xml:space="preserve">Lífrænt </w:t>
            </w:r>
            <w:r w:rsidR="0080025A">
              <w:rPr>
                <w:b/>
              </w:rPr>
              <w:t>ræktuð</w:t>
            </w:r>
            <w:r w:rsidRPr="007A1FD3">
              <w:rPr>
                <w:b/>
              </w:rPr>
              <w:t xml:space="preserve"> </w:t>
            </w:r>
            <w:r w:rsidR="00D45FD0">
              <w:rPr>
                <w:b/>
              </w:rPr>
              <w:t>bómull</w:t>
            </w:r>
            <w:r w:rsidR="0080025A">
              <w:rPr>
                <w:b/>
              </w:rPr>
              <w:t xml:space="preserve"> og aðrar náttúrulegar trefjar</w:t>
            </w:r>
          </w:p>
          <w:p w:rsidR="003A511A" w:rsidRPr="007A1FD3" w:rsidRDefault="003A511A" w:rsidP="007312BA">
            <w:pPr>
              <w:spacing w:before="120"/>
            </w:pPr>
            <w:r>
              <w:t>Seljendur</w:t>
            </w:r>
            <w:r w:rsidRPr="007A1FD3">
              <w:t xml:space="preserve"> skulu ge</w:t>
            </w:r>
            <w:r w:rsidR="0080025A">
              <w:t xml:space="preserve">ra grein fyrir </w:t>
            </w:r>
            <w:r w:rsidR="0032720D">
              <w:t xml:space="preserve">hlutfalli þyngdar </w:t>
            </w:r>
            <w:r w:rsidRPr="007A1FD3">
              <w:t xml:space="preserve">lífrænt </w:t>
            </w:r>
            <w:r w:rsidR="0080025A">
              <w:t>ræktaðrar</w:t>
            </w:r>
            <w:r w:rsidRPr="007A1FD3">
              <w:t xml:space="preserve"> </w:t>
            </w:r>
            <w:r w:rsidR="00D45FD0">
              <w:t>bómull</w:t>
            </w:r>
            <w:r w:rsidRPr="007A1FD3">
              <w:t xml:space="preserve">ar eða annarra lífrænt </w:t>
            </w:r>
            <w:r w:rsidR="0080025A">
              <w:t>ræktaðra</w:t>
            </w:r>
            <w:r w:rsidRPr="007A1FD3">
              <w:t xml:space="preserve"> trefja í lokavörunni. Til þess að teljast lífræn </w:t>
            </w:r>
            <w:r w:rsidR="0080025A">
              <w:t>ræktu</w:t>
            </w:r>
            <w:r w:rsidR="0032720D">
              <w:t>n</w:t>
            </w:r>
            <w:r w:rsidRPr="007A1FD3">
              <w:t xml:space="preserve"> skal uppskeran frá tilurð trefjanna, vera framleidd í samræmi við reglugerð (EC) nr. 834/2007.</w:t>
            </w:r>
          </w:p>
          <w:p w:rsidR="003A511A" w:rsidRDefault="003A511A" w:rsidP="0032720D">
            <w:r w:rsidRPr="007A1FD3">
              <w:rPr>
                <w:b/>
              </w:rPr>
              <w:t xml:space="preserve">Staðfesting: </w:t>
            </w:r>
            <w:r w:rsidRPr="007A1FD3">
              <w:t xml:space="preserve">Birginn </w:t>
            </w:r>
            <w:r w:rsidR="0032720D">
              <w:t>skal</w:t>
            </w:r>
            <w:r w:rsidRPr="007A1FD3">
              <w:t xml:space="preserve"> að leggja fram sönnun um uppruna trefjanna og um lífræna framleiðslu þeirra. </w:t>
            </w:r>
            <w:r w:rsidRPr="00C21EFC">
              <w:t>Sé varan merkt með viðurkenndu umhverfismerki (Tegund I), svo sem norræna Svaninum</w:t>
            </w:r>
            <w:r>
              <w:t xml:space="preserve"> eða </w:t>
            </w:r>
            <w:r w:rsidRPr="00C21EFC">
              <w:t>Evrópublóminu</w:t>
            </w:r>
            <w:r>
              <w:t xml:space="preserve"> e</w:t>
            </w:r>
            <w:r w:rsidRPr="00C21EFC">
              <w:t xml:space="preserve">ða viðurkenndu merki fyrir lífræna </w:t>
            </w:r>
            <w:r>
              <w:t>framleiðslu</w:t>
            </w:r>
            <w:r w:rsidRPr="00C21EFC">
              <w:t xml:space="preserve">, er </w:t>
            </w:r>
            <w:r>
              <w:t>umhverfis</w:t>
            </w:r>
            <w:r w:rsidRPr="00C21EFC">
              <w:t>viðmiði</w:t>
            </w:r>
            <w:r>
              <w:t>ð</w:t>
            </w:r>
            <w:r w:rsidRPr="00C21EFC">
              <w:t xml:space="preserve"> uppfyllt.</w:t>
            </w:r>
          </w:p>
        </w:tc>
        <w:tc>
          <w:tcPr>
            <w:tcW w:w="6912" w:type="dxa"/>
            <w:gridSpan w:val="3"/>
            <w:vAlign w:val="center"/>
          </w:tcPr>
          <w:p w:rsidR="003A511A" w:rsidRPr="007A1FD3" w:rsidRDefault="003A511A" w:rsidP="007312BA">
            <w:pPr>
              <w:spacing w:before="120"/>
              <w:rPr>
                <w:b/>
              </w:rPr>
            </w:pPr>
            <w:r w:rsidRPr="002F4677">
              <w:rPr>
                <w:b/>
                <w:lang w:eastAsia="da-DK" w:bidi="hi-IN"/>
              </w:rPr>
              <w:t>1.</w:t>
            </w:r>
            <w:r>
              <w:rPr>
                <w:lang w:eastAsia="da-DK" w:bidi="hi-IN"/>
              </w:rPr>
              <w:t xml:space="preserve"> </w:t>
            </w:r>
            <w:r w:rsidRPr="007A1FD3">
              <w:rPr>
                <w:b/>
              </w:rPr>
              <w:t xml:space="preserve">Lífrænt </w:t>
            </w:r>
            <w:r w:rsidR="0080025A">
              <w:rPr>
                <w:b/>
              </w:rPr>
              <w:t>ræktuð</w:t>
            </w:r>
            <w:r w:rsidRPr="007A1FD3">
              <w:rPr>
                <w:b/>
              </w:rPr>
              <w:t xml:space="preserve"> </w:t>
            </w:r>
            <w:r w:rsidR="00D45FD0">
              <w:rPr>
                <w:b/>
              </w:rPr>
              <w:t>bómull</w:t>
            </w:r>
            <w:r w:rsidR="0080025A">
              <w:rPr>
                <w:b/>
              </w:rPr>
              <w:t xml:space="preserve"> og aðrar náttúrulegar trefjar</w:t>
            </w:r>
          </w:p>
          <w:p w:rsidR="0032720D" w:rsidRPr="007A1FD3" w:rsidRDefault="0032720D" w:rsidP="0032720D">
            <w:pPr>
              <w:spacing w:before="120"/>
            </w:pPr>
            <w:r>
              <w:t>Seljendur</w:t>
            </w:r>
            <w:r w:rsidRPr="007A1FD3">
              <w:t xml:space="preserve"> skulu ge</w:t>
            </w:r>
            <w:r>
              <w:t xml:space="preserve">ra grein fyrir hlutfalli þyngdar </w:t>
            </w:r>
            <w:r w:rsidRPr="007A1FD3">
              <w:t xml:space="preserve">lífrænt </w:t>
            </w:r>
            <w:r>
              <w:t>ræktaðrar</w:t>
            </w:r>
            <w:r w:rsidRPr="007A1FD3">
              <w:t xml:space="preserve"> </w:t>
            </w:r>
            <w:r>
              <w:t>bómull</w:t>
            </w:r>
            <w:r w:rsidRPr="007A1FD3">
              <w:t xml:space="preserve">ar eða annarra lífrænt </w:t>
            </w:r>
            <w:r>
              <w:t>ræktaðra</w:t>
            </w:r>
            <w:r w:rsidRPr="007A1FD3">
              <w:t xml:space="preserve"> trefja í lokavörunni. Til þess að teljast lífræn </w:t>
            </w:r>
            <w:r>
              <w:t>ræktun</w:t>
            </w:r>
            <w:r w:rsidRPr="007A1FD3">
              <w:t xml:space="preserve"> skal uppskeran frá tilurð trefjanna, vera framleidd í samræmi við reglugerð (EC) nr. 834/2007.</w:t>
            </w:r>
          </w:p>
          <w:p w:rsidR="003A511A" w:rsidRDefault="003A511A" w:rsidP="0032720D">
            <w:r w:rsidRPr="007A1FD3">
              <w:rPr>
                <w:b/>
              </w:rPr>
              <w:t xml:space="preserve">Staðfesting: </w:t>
            </w:r>
            <w:r w:rsidR="0032720D" w:rsidRPr="007A1FD3">
              <w:t xml:space="preserve">Birginn </w:t>
            </w:r>
            <w:r w:rsidR="0032720D">
              <w:t>skal</w:t>
            </w:r>
            <w:r w:rsidR="0032720D" w:rsidRPr="007A1FD3">
              <w:t xml:space="preserve"> að leggja fram sönnun um uppruna trefjanna og um lífræna framleiðslu þeirra. </w:t>
            </w:r>
            <w:r w:rsidR="0032720D" w:rsidRPr="00C21EFC">
              <w:t>Sé varan merkt með viðurkenndu umhverfismerki (Tegund I), svo sem norræna Svaninum</w:t>
            </w:r>
            <w:r w:rsidR="0032720D">
              <w:t xml:space="preserve"> eða </w:t>
            </w:r>
            <w:r w:rsidR="0032720D" w:rsidRPr="00C21EFC">
              <w:t>Evrópublóminu</w:t>
            </w:r>
            <w:r w:rsidR="0032720D">
              <w:t xml:space="preserve"> e</w:t>
            </w:r>
            <w:r w:rsidR="0032720D" w:rsidRPr="00C21EFC">
              <w:t xml:space="preserve">ða viðurkenndu merki fyrir lífræna </w:t>
            </w:r>
            <w:r w:rsidR="0032720D">
              <w:t>framleiðslu</w:t>
            </w:r>
            <w:r w:rsidR="0032720D" w:rsidRPr="00C21EFC">
              <w:t xml:space="preserve">, er </w:t>
            </w:r>
            <w:r w:rsidR="0032720D">
              <w:t>umhverfis</w:t>
            </w:r>
            <w:r w:rsidR="0032720D" w:rsidRPr="00C21EFC">
              <w:t>viðmiði</w:t>
            </w:r>
            <w:r w:rsidR="0032720D">
              <w:t>ð</w:t>
            </w:r>
            <w:r w:rsidR="0032720D" w:rsidRPr="00C21EFC">
              <w:t xml:space="preserve"> uppfyllt.</w:t>
            </w:r>
          </w:p>
        </w:tc>
      </w:tr>
      <w:tr w:rsidR="003A511A" w:rsidRPr="004C02F2" w:rsidTr="007312BA">
        <w:tc>
          <w:tcPr>
            <w:tcW w:w="7308" w:type="dxa"/>
            <w:gridSpan w:val="3"/>
            <w:vAlign w:val="center"/>
          </w:tcPr>
          <w:p w:rsidR="003A511A" w:rsidRPr="007A1FD3" w:rsidRDefault="003A511A" w:rsidP="007312BA">
            <w:pPr>
              <w:spacing w:before="120"/>
            </w:pPr>
            <w:r>
              <w:rPr>
                <w:b/>
              </w:rPr>
              <w:t>2</w:t>
            </w:r>
            <w:r w:rsidRPr="007A1FD3">
              <w:rPr>
                <w:b/>
              </w:rPr>
              <w:t>. Endurunnar trefjar</w:t>
            </w:r>
            <w:r w:rsidRPr="007A1FD3">
              <w:t>:</w:t>
            </w:r>
          </w:p>
          <w:p w:rsidR="003A511A" w:rsidRPr="007A1FD3" w:rsidRDefault="003A511A" w:rsidP="007312BA">
            <w:pPr>
              <w:spacing w:before="120"/>
            </w:pPr>
            <w:r>
              <w:t>Seljendur</w:t>
            </w:r>
            <w:r w:rsidRPr="007A1FD3">
              <w:t xml:space="preserve"> </w:t>
            </w:r>
            <w:r>
              <w:t xml:space="preserve">skulu </w:t>
            </w:r>
            <w:r w:rsidR="00020FC8">
              <w:t>gefa til kynna</w:t>
            </w:r>
            <w:r w:rsidR="00020FC8" w:rsidRPr="007A1FD3">
              <w:t xml:space="preserve"> </w:t>
            </w:r>
            <w:r w:rsidR="0032720D">
              <w:t xml:space="preserve">hlutfall </w:t>
            </w:r>
            <w:r w:rsidRPr="007A1FD3">
              <w:t>þyngdar endurunn</w:t>
            </w:r>
            <w:r w:rsidR="0032720D">
              <w:t>inna</w:t>
            </w:r>
            <w:r w:rsidRPr="007A1FD3">
              <w:t xml:space="preserve"> trefja í vörunni. Í þessu samhengi eru endurunnar trefjar skilgreindar sem trefjar sem falla eingöngu til sem afskurður í textíl- og fataiðnaði eða notaðar vörur frá neytendum (textílefni eða annað).</w:t>
            </w:r>
          </w:p>
          <w:p w:rsidR="003A511A" w:rsidRPr="008B1BB6" w:rsidRDefault="003A511A" w:rsidP="0032720D">
            <w:pPr>
              <w:spacing w:before="120"/>
            </w:pPr>
            <w:r w:rsidRPr="0032720D">
              <w:rPr>
                <w:b/>
              </w:rPr>
              <w:t xml:space="preserve">Staðfesting: </w:t>
            </w:r>
            <w:r w:rsidRPr="0032720D">
              <w:t>Seljandi skal leggja fram s</w:t>
            </w:r>
            <w:r w:rsidRPr="007A1FD3">
              <w:t>önnun um uppruna trefjanna. Sjá til dæmis staðfestingu í matsviðmiði 1 hér að ofan.</w:t>
            </w:r>
          </w:p>
        </w:tc>
        <w:tc>
          <w:tcPr>
            <w:tcW w:w="6912" w:type="dxa"/>
            <w:gridSpan w:val="3"/>
            <w:vAlign w:val="center"/>
          </w:tcPr>
          <w:p w:rsidR="003A511A" w:rsidRPr="007A1FD3" w:rsidRDefault="003A511A" w:rsidP="007312BA">
            <w:pPr>
              <w:spacing w:before="120"/>
            </w:pPr>
            <w:r>
              <w:rPr>
                <w:b/>
              </w:rPr>
              <w:t>2</w:t>
            </w:r>
            <w:r w:rsidRPr="007A1FD3">
              <w:rPr>
                <w:b/>
              </w:rPr>
              <w:t>. Endurunnar trefjar</w:t>
            </w:r>
            <w:r w:rsidRPr="007A1FD3">
              <w:t>:</w:t>
            </w:r>
          </w:p>
          <w:p w:rsidR="003A511A" w:rsidRPr="007A1FD3" w:rsidRDefault="0032720D" w:rsidP="007312BA">
            <w:pPr>
              <w:spacing w:before="120"/>
            </w:pPr>
            <w:r>
              <w:t>Seljendur</w:t>
            </w:r>
            <w:r w:rsidRPr="007A1FD3">
              <w:t xml:space="preserve"> </w:t>
            </w:r>
            <w:r>
              <w:t>skulu staðfesta</w:t>
            </w:r>
            <w:r w:rsidRPr="007A1FD3">
              <w:t xml:space="preserve"> </w:t>
            </w:r>
            <w:r>
              <w:t xml:space="preserve">hlutfall </w:t>
            </w:r>
            <w:r w:rsidRPr="007A1FD3">
              <w:t>þyngdar endurunn</w:t>
            </w:r>
            <w:r>
              <w:t>inna</w:t>
            </w:r>
            <w:r w:rsidRPr="007A1FD3">
              <w:t xml:space="preserve"> trefja í vörunni. Í þessu samhengi eru endurunnar trefjar skilgreindar sem trefjar sem falla eingöngu til sem afskurður í textíl- og fataiðnaði eða notaðar vörur frá ne</w:t>
            </w:r>
            <w:r>
              <w:t>ytendum (textílefni eða annað).</w:t>
            </w:r>
          </w:p>
          <w:p w:rsidR="003A511A" w:rsidRPr="008B1BB6" w:rsidRDefault="003A511A" w:rsidP="0032720D">
            <w:pPr>
              <w:spacing w:before="120"/>
            </w:pPr>
            <w:r w:rsidRPr="0032720D">
              <w:rPr>
                <w:b/>
              </w:rPr>
              <w:t xml:space="preserve">Staðfesting: </w:t>
            </w:r>
            <w:r w:rsidRPr="0032720D">
              <w:t>Seljandi skal leggja fram s</w:t>
            </w:r>
            <w:r w:rsidRPr="007A1FD3">
              <w:t>önnun um uppruna trefjanna. Sjá til dæmis staðfestingu í matsviðmiði 1 hér að ofan.</w:t>
            </w:r>
          </w:p>
        </w:tc>
      </w:tr>
    </w:tbl>
    <w:p w:rsidR="00F51B15" w:rsidRPr="007566D8" w:rsidRDefault="00F51B15" w:rsidP="00AC0667">
      <w:pPr>
        <w:pStyle w:val="Heading2"/>
        <w:numPr>
          <w:ilvl w:val="0"/>
          <w:numId w:val="0"/>
        </w:numPr>
        <w:ind w:left="576" w:hanging="576"/>
      </w:pPr>
    </w:p>
    <w:sectPr w:rsidR="00F51B15" w:rsidRPr="007566D8" w:rsidSect="00AC06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BE" w:rsidRDefault="000779BE" w:rsidP="00F51B15">
      <w:pPr>
        <w:spacing w:after="0" w:line="240" w:lineRule="auto"/>
      </w:pPr>
      <w:r>
        <w:separator/>
      </w:r>
    </w:p>
  </w:endnote>
  <w:endnote w:type="continuationSeparator" w:id="0">
    <w:p w:rsidR="000779BE" w:rsidRDefault="000779BE" w:rsidP="00F5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BE" w:rsidRDefault="00077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BE" w:rsidRPr="00F51B15" w:rsidRDefault="000779BE" w:rsidP="00F51B15">
    <w:pPr>
      <w:pStyle w:val="Footer"/>
      <w:jc w:val="right"/>
      <w:rPr>
        <w:sz w:val="22"/>
      </w:rPr>
    </w:pPr>
    <w:r w:rsidRPr="00F51B15">
      <w:rPr>
        <w:noProof/>
        <w:sz w:val="22"/>
      </w:rPr>
      <w:fldChar w:fldCharType="begin"/>
    </w:r>
    <w:r w:rsidRPr="00F51B15">
      <w:rPr>
        <w:noProof/>
        <w:sz w:val="22"/>
      </w:rPr>
      <w:instrText xml:space="preserve"> PAGE  \* Arabic  \* MERGEFORMAT </w:instrText>
    </w:r>
    <w:r w:rsidRPr="00F51B15">
      <w:rPr>
        <w:noProof/>
        <w:sz w:val="22"/>
      </w:rPr>
      <w:fldChar w:fldCharType="separate"/>
    </w:r>
    <w:r w:rsidR="00B869BF">
      <w:rPr>
        <w:noProof/>
        <w:sz w:val="22"/>
      </w:rPr>
      <w:t>15</w:t>
    </w:r>
    <w:r w:rsidRPr="00F51B15">
      <w:rPr>
        <w:noProof/>
        <w:sz w:val="22"/>
      </w:rPr>
      <w:fldChar w:fldCharType="end"/>
    </w:r>
    <w:r w:rsidRPr="00F51B15">
      <w:rPr>
        <w:noProof/>
        <w:sz w:val="22"/>
      </w:rPr>
      <w:t xml:space="preserve"> / </w:t>
    </w:r>
    <w:r w:rsidRPr="00F51B15">
      <w:rPr>
        <w:noProof/>
        <w:sz w:val="22"/>
      </w:rPr>
      <w:fldChar w:fldCharType="begin"/>
    </w:r>
    <w:r w:rsidRPr="00F51B15">
      <w:rPr>
        <w:noProof/>
        <w:sz w:val="22"/>
      </w:rPr>
      <w:instrText xml:space="preserve"> NUMPAGES  \* Arabic  \* MERGEFORMAT </w:instrText>
    </w:r>
    <w:r w:rsidRPr="00F51B15">
      <w:rPr>
        <w:noProof/>
        <w:sz w:val="22"/>
      </w:rPr>
      <w:fldChar w:fldCharType="separate"/>
    </w:r>
    <w:r w:rsidR="00B869BF">
      <w:rPr>
        <w:noProof/>
        <w:sz w:val="22"/>
      </w:rPr>
      <w:t>15</w:t>
    </w:r>
    <w:r w:rsidRPr="00F51B15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BE" w:rsidRDefault="00077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BE" w:rsidRDefault="000779BE" w:rsidP="00F51B15">
      <w:pPr>
        <w:spacing w:after="0" w:line="240" w:lineRule="auto"/>
      </w:pPr>
      <w:r>
        <w:separator/>
      </w:r>
    </w:p>
  </w:footnote>
  <w:footnote w:type="continuationSeparator" w:id="0">
    <w:p w:rsidR="000779BE" w:rsidRDefault="000779BE" w:rsidP="00F5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BE" w:rsidRDefault="00077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BE" w:rsidRDefault="000779BE">
    <w:pPr>
      <w:pStyle w:val="Header"/>
      <w:rPr>
        <w:color w:val="808080" w:themeColor="background1" w:themeShade="80"/>
      </w:rPr>
    </w:pPr>
    <w:r>
      <w:rPr>
        <w:noProof/>
        <w:color w:val="808080" w:themeColor="background1" w:themeShade="80"/>
        <w:lang w:eastAsia="is-IS"/>
      </w:rPr>
      <w:drawing>
        <wp:inline distT="0" distB="0" distL="0" distR="0" wp14:anchorId="2E9A21F7" wp14:editId="6A15C357">
          <wp:extent cx="1282535" cy="47423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g texti VISTVÆN INNKA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537" cy="47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79BE" w:rsidRPr="000A49FB" w:rsidRDefault="000779BE">
    <w:pPr>
      <w:pStyle w:val="Head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BE" w:rsidRDefault="000779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900"/>
    <w:multiLevelType w:val="hybridMultilevel"/>
    <w:tmpl w:val="E236BABA"/>
    <w:lvl w:ilvl="0" w:tplc="91B8CC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D54"/>
    <w:multiLevelType w:val="hybridMultilevel"/>
    <w:tmpl w:val="072A346C"/>
    <w:lvl w:ilvl="0" w:tplc="15D86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65E9A"/>
    <w:multiLevelType w:val="hybridMultilevel"/>
    <w:tmpl w:val="2E8878DA"/>
    <w:lvl w:ilvl="0" w:tplc="15D86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432DB"/>
    <w:multiLevelType w:val="hybridMultilevel"/>
    <w:tmpl w:val="E236BABA"/>
    <w:lvl w:ilvl="0" w:tplc="91B8CC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50B69"/>
    <w:multiLevelType w:val="hybridMultilevel"/>
    <w:tmpl w:val="63A87BA4"/>
    <w:lvl w:ilvl="0" w:tplc="C2D26D84">
      <w:start w:val="1"/>
      <w:numFmt w:val="bullet"/>
      <w:pStyle w:val="Bulletpoints3"/>
      <w:lvlText w:val=""/>
      <w:lvlJc w:val="left"/>
      <w:pPr>
        <w:tabs>
          <w:tab w:val="num" w:pos="1440"/>
        </w:tabs>
        <w:ind w:left="1871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25DEC"/>
    <w:multiLevelType w:val="hybridMultilevel"/>
    <w:tmpl w:val="B8FA00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616878"/>
    <w:multiLevelType w:val="hybridMultilevel"/>
    <w:tmpl w:val="379A94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50E8B"/>
    <w:multiLevelType w:val="hybridMultilevel"/>
    <w:tmpl w:val="F99C8114"/>
    <w:lvl w:ilvl="0" w:tplc="9A401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B40E1"/>
    <w:multiLevelType w:val="hybridMultilevel"/>
    <w:tmpl w:val="6156B87C"/>
    <w:lvl w:ilvl="0" w:tplc="F918A8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B73DB"/>
    <w:multiLevelType w:val="hybridMultilevel"/>
    <w:tmpl w:val="E804A256"/>
    <w:lvl w:ilvl="0" w:tplc="849CC97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62DD"/>
    <w:multiLevelType w:val="hybridMultilevel"/>
    <w:tmpl w:val="9A808D9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A74EE"/>
    <w:multiLevelType w:val="hybridMultilevel"/>
    <w:tmpl w:val="4F4CA6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F20E5"/>
    <w:multiLevelType w:val="hybridMultilevel"/>
    <w:tmpl w:val="D66A6000"/>
    <w:lvl w:ilvl="0" w:tplc="15D869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1A1FD8"/>
    <w:multiLevelType w:val="hybridMultilevel"/>
    <w:tmpl w:val="CDDE7C9A"/>
    <w:lvl w:ilvl="0" w:tplc="9A401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378A3"/>
    <w:multiLevelType w:val="hybridMultilevel"/>
    <w:tmpl w:val="9AFAFF94"/>
    <w:lvl w:ilvl="0" w:tplc="040F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7">
      <w:start w:val="1"/>
      <w:numFmt w:val="lowerLetter"/>
      <w:lvlText w:val="%2)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210A3"/>
    <w:multiLevelType w:val="hybridMultilevel"/>
    <w:tmpl w:val="02D858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20167"/>
    <w:multiLevelType w:val="hybridMultilevel"/>
    <w:tmpl w:val="E61A14A2"/>
    <w:lvl w:ilvl="0" w:tplc="15D86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FF685D"/>
    <w:multiLevelType w:val="hybridMultilevel"/>
    <w:tmpl w:val="4C1C66A0"/>
    <w:lvl w:ilvl="0" w:tplc="15D869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015E4"/>
    <w:multiLevelType w:val="hybridMultilevel"/>
    <w:tmpl w:val="E236BABA"/>
    <w:lvl w:ilvl="0" w:tplc="91B8CC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26922"/>
    <w:multiLevelType w:val="hybridMultilevel"/>
    <w:tmpl w:val="FFAE3914"/>
    <w:lvl w:ilvl="0" w:tplc="15D86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B4536"/>
    <w:multiLevelType w:val="hybridMultilevel"/>
    <w:tmpl w:val="FAE6F22E"/>
    <w:lvl w:ilvl="0" w:tplc="15D86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1252F8"/>
    <w:multiLevelType w:val="hybridMultilevel"/>
    <w:tmpl w:val="E236BABA"/>
    <w:lvl w:ilvl="0" w:tplc="91B8CC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0E3BEA"/>
    <w:multiLevelType w:val="hybridMultilevel"/>
    <w:tmpl w:val="88ACB7F4"/>
    <w:lvl w:ilvl="0" w:tplc="15D86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F0A0D"/>
    <w:multiLevelType w:val="hybridMultilevel"/>
    <w:tmpl w:val="8B6AE900"/>
    <w:lvl w:ilvl="0" w:tplc="15D86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C1624"/>
    <w:multiLevelType w:val="hybridMultilevel"/>
    <w:tmpl w:val="3FDC43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94F7A"/>
    <w:multiLevelType w:val="hybridMultilevel"/>
    <w:tmpl w:val="E236BABA"/>
    <w:lvl w:ilvl="0" w:tplc="91B8CC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26D87"/>
    <w:multiLevelType w:val="hybridMultilevel"/>
    <w:tmpl w:val="E236BABA"/>
    <w:lvl w:ilvl="0" w:tplc="91B8CC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52AB7"/>
    <w:multiLevelType w:val="hybridMultilevel"/>
    <w:tmpl w:val="CEDED3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25ECD"/>
    <w:multiLevelType w:val="hybridMultilevel"/>
    <w:tmpl w:val="3D786D3C"/>
    <w:lvl w:ilvl="0" w:tplc="15D86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95B78"/>
    <w:multiLevelType w:val="hybridMultilevel"/>
    <w:tmpl w:val="98D6B706"/>
    <w:lvl w:ilvl="0" w:tplc="8326BE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07356"/>
    <w:multiLevelType w:val="hybridMultilevel"/>
    <w:tmpl w:val="DD6875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42DC3"/>
    <w:multiLevelType w:val="hybridMultilevel"/>
    <w:tmpl w:val="038A07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E592F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>
    <w:nsid w:val="635C00F6"/>
    <w:multiLevelType w:val="hybridMultilevel"/>
    <w:tmpl w:val="62A261D4"/>
    <w:lvl w:ilvl="0" w:tplc="91B8C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F0AC9"/>
    <w:multiLevelType w:val="hybridMultilevel"/>
    <w:tmpl w:val="62A261D4"/>
    <w:lvl w:ilvl="0" w:tplc="91B8C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F2CA0"/>
    <w:multiLevelType w:val="hybridMultilevel"/>
    <w:tmpl w:val="637C2068"/>
    <w:lvl w:ilvl="0" w:tplc="582E62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02FCF"/>
    <w:multiLevelType w:val="hybridMultilevel"/>
    <w:tmpl w:val="8BE2E21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868B1"/>
    <w:multiLevelType w:val="hybridMultilevel"/>
    <w:tmpl w:val="4F6EA3C2"/>
    <w:lvl w:ilvl="0" w:tplc="3566177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D3820"/>
    <w:multiLevelType w:val="hybridMultilevel"/>
    <w:tmpl w:val="BDA0217A"/>
    <w:lvl w:ilvl="0" w:tplc="15D86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1"/>
  </w:num>
  <w:num w:numId="4">
    <w:abstractNumId w:val="15"/>
  </w:num>
  <w:num w:numId="5">
    <w:abstractNumId w:val="11"/>
  </w:num>
  <w:num w:numId="6">
    <w:abstractNumId w:val="17"/>
  </w:num>
  <w:num w:numId="7">
    <w:abstractNumId w:val="13"/>
  </w:num>
  <w:num w:numId="8">
    <w:abstractNumId w:val="7"/>
  </w:num>
  <w:num w:numId="9">
    <w:abstractNumId w:val="14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30"/>
  </w:num>
  <w:num w:numId="15">
    <w:abstractNumId w:val="23"/>
  </w:num>
  <w:num w:numId="16">
    <w:abstractNumId w:val="20"/>
  </w:num>
  <w:num w:numId="17">
    <w:abstractNumId w:val="16"/>
  </w:num>
  <w:num w:numId="18">
    <w:abstractNumId w:val="38"/>
  </w:num>
  <w:num w:numId="19">
    <w:abstractNumId w:val="34"/>
  </w:num>
  <w:num w:numId="20">
    <w:abstractNumId w:val="10"/>
  </w:num>
  <w:num w:numId="21">
    <w:abstractNumId w:val="1"/>
  </w:num>
  <w:num w:numId="22">
    <w:abstractNumId w:val="33"/>
  </w:num>
  <w:num w:numId="23">
    <w:abstractNumId w:val="3"/>
  </w:num>
  <w:num w:numId="24">
    <w:abstractNumId w:val="22"/>
  </w:num>
  <w:num w:numId="25">
    <w:abstractNumId w:val="28"/>
  </w:num>
  <w:num w:numId="26">
    <w:abstractNumId w:val="26"/>
  </w:num>
  <w:num w:numId="27">
    <w:abstractNumId w:val="19"/>
  </w:num>
  <w:num w:numId="28">
    <w:abstractNumId w:val="18"/>
  </w:num>
  <w:num w:numId="29">
    <w:abstractNumId w:val="21"/>
  </w:num>
  <w:num w:numId="30">
    <w:abstractNumId w:val="37"/>
  </w:num>
  <w:num w:numId="31">
    <w:abstractNumId w:val="6"/>
  </w:num>
  <w:num w:numId="32">
    <w:abstractNumId w:val="36"/>
  </w:num>
  <w:num w:numId="33">
    <w:abstractNumId w:val="27"/>
  </w:num>
  <w:num w:numId="34">
    <w:abstractNumId w:val="0"/>
  </w:num>
  <w:num w:numId="35">
    <w:abstractNumId w:val="25"/>
  </w:num>
  <w:num w:numId="36">
    <w:abstractNumId w:val="29"/>
  </w:num>
  <w:num w:numId="37">
    <w:abstractNumId w:val="35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D8"/>
    <w:rsid w:val="00020FC8"/>
    <w:rsid w:val="000566E2"/>
    <w:rsid w:val="00075D95"/>
    <w:rsid w:val="000779BE"/>
    <w:rsid w:val="000A0A53"/>
    <w:rsid w:val="000A0A93"/>
    <w:rsid w:val="000A210E"/>
    <w:rsid w:val="000A49FB"/>
    <w:rsid w:val="00144434"/>
    <w:rsid w:val="00150537"/>
    <w:rsid w:val="00164A02"/>
    <w:rsid w:val="001812CB"/>
    <w:rsid w:val="001B0074"/>
    <w:rsid w:val="00212C5B"/>
    <w:rsid w:val="00236168"/>
    <w:rsid w:val="002604D9"/>
    <w:rsid w:val="0027293C"/>
    <w:rsid w:val="002A0F11"/>
    <w:rsid w:val="002B63D4"/>
    <w:rsid w:val="002D63B0"/>
    <w:rsid w:val="002F57F8"/>
    <w:rsid w:val="00306746"/>
    <w:rsid w:val="0032107C"/>
    <w:rsid w:val="0032720D"/>
    <w:rsid w:val="003373AF"/>
    <w:rsid w:val="00353CFD"/>
    <w:rsid w:val="00361B7A"/>
    <w:rsid w:val="003632B8"/>
    <w:rsid w:val="003A511A"/>
    <w:rsid w:val="003E6D85"/>
    <w:rsid w:val="003E7BEC"/>
    <w:rsid w:val="004B5EA8"/>
    <w:rsid w:val="004D0389"/>
    <w:rsid w:val="004D5968"/>
    <w:rsid w:val="004E380E"/>
    <w:rsid w:val="005133D0"/>
    <w:rsid w:val="005316D9"/>
    <w:rsid w:val="005A5CA4"/>
    <w:rsid w:val="00631A78"/>
    <w:rsid w:val="006C5090"/>
    <w:rsid w:val="006F313E"/>
    <w:rsid w:val="00721BE2"/>
    <w:rsid w:val="007312BA"/>
    <w:rsid w:val="007566D8"/>
    <w:rsid w:val="007848DE"/>
    <w:rsid w:val="00792634"/>
    <w:rsid w:val="007C7E2E"/>
    <w:rsid w:val="0080025A"/>
    <w:rsid w:val="008C041F"/>
    <w:rsid w:val="008F26F3"/>
    <w:rsid w:val="00937F6D"/>
    <w:rsid w:val="00940AE0"/>
    <w:rsid w:val="0096311A"/>
    <w:rsid w:val="009B3535"/>
    <w:rsid w:val="009B7101"/>
    <w:rsid w:val="009D401F"/>
    <w:rsid w:val="009F7329"/>
    <w:rsid w:val="00A12525"/>
    <w:rsid w:val="00A925C1"/>
    <w:rsid w:val="00AC0667"/>
    <w:rsid w:val="00AC62B2"/>
    <w:rsid w:val="00AF1027"/>
    <w:rsid w:val="00B37B10"/>
    <w:rsid w:val="00B435D4"/>
    <w:rsid w:val="00B869BF"/>
    <w:rsid w:val="00BA1436"/>
    <w:rsid w:val="00BA4AA7"/>
    <w:rsid w:val="00C04B00"/>
    <w:rsid w:val="00C23973"/>
    <w:rsid w:val="00C30D0D"/>
    <w:rsid w:val="00C66859"/>
    <w:rsid w:val="00C7570D"/>
    <w:rsid w:val="00C824F6"/>
    <w:rsid w:val="00C90341"/>
    <w:rsid w:val="00C908FB"/>
    <w:rsid w:val="00CB6B64"/>
    <w:rsid w:val="00CE4CF3"/>
    <w:rsid w:val="00CF3DF2"/>
    <w:rsid w:val="00CF75BB"/>
    <w:rsid w:val="00D45FD0"/>
    <w:rsid w:val="00D648E3"/>
    <w:rsid w:val="00DA70EC"/>
    <w:rsid w:val="00DB77BC"/>
    <w:rsid w:val="00E220FE"/>
    <w:rsid w:val="00E64E9A"/>
    <w:rsid w:val="00F404FF"/>
    <w:rsid w:val="00F51B15"/>
    <w:rsid w:val="00F81B24"/>
    <w:rsid w:val="00F81BF4"/>
    <w:rsid w:val="00F934B8"/>
    <w:rsid w:val="00FC0C2B"/>
    <w:rsid w:val="00FC323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1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ind w:left="431" w:hanging="431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D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0A49FB"/>
    <w:pPr>
      <w:spacing w:before="120" w:line="240" w:lineRule="auto"/>
    </w:pPr>
    <w:rPr>
      <w:b/>
      <w:smallCap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6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667"/>
    <w:rPr>
      <w:rFonts w:ascii="Times New Roman" w:hAnsi="Times New Roman"/>
      <w:sz w:val="20"/>
      <w:szCs w:val="20"/>
    </w:rPr>
  </w:style>
  <w:style w:type="paragraph" w:customStyle="1" w:styleId="Headline5">
    <w:name w:val="Headline5"/>
    <w:basedOn w:val="Normal"/>
    <w:autoRedefine/>
    <w:rsid w:val="00CB6B64"/>
    <w:pPr>
      <w:spacing w:before="120" w:line="280" w:lineRule="exact"/>
      <w:ind w:right="62"/>
    </w:pPr>
    <w:rPr>
      <w:rFonts w:eastAsia="Times New Roman" w:cs="Times New Roman"/>
      <w:b/>
      <w:i/>
      <w:lang w:val="en-GB" w:eastAsia="da-DK" w:bidi="hi-IN"/>
    </w:rPr>
  </w:style>
  <w:style w:type="paragraph" w:customStyle="1" w:styleId="Bulletpoints3">
    <w:name w:val="Bullet points 3"/>
    <w:basedOn w:val="Normal"/>
    <w:autoRedefine/>
    <w:rsid w:val="00CB6B64"/>
    <w:pPr>
      <w:numPr>
        <w:numId w:val="12"/>
      </w:numPr>
      <w:autoSpaceDE w:val="0"/>
      <w:autoSpaceDN w:val="0"/>
      <w:adjustRightInd w:val="0"/>
      <w:spacing w:after="0" w:line="300" w:lineRule="atLeast"/>
      <w:ind w:left="1985" w:right="50" w:hanging="284"/>
    </w:pPr>
    <w:rPr>
      <w:rFonts w:eastAsia="Times New Roman" w:cs="Times New Roman"/>
      <w:bCs/>
      <w:sz w:val="22"/>
      <w:szCs w:val="20"/>
      <w:lang w:val="en-GB" w:eastAsia="fr-FR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8E3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1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ind w:left="431" w:hanging="431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D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0A49FB"/>
    <w:pPr>
      <w:spacing w:before="120" w:line="240" w:lineRule="auto"/>
    </w:pPr>
    <w:rPr>
      <w:b/>
      <w:smallCap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6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667"/>
    <w:rPr>
      <w:rFonts w:ascii="Times New Roman" w:hAnsi="Times New Roman"/>
      <w:sz w:val="20"/>
      <w:szCs w:val="20"/>
    </w:rPr>
  </w:style>
  <w:style w:type="paragraph" w:customStyle="1" w:styleId="Headline5">
    <w:name w:val="Headline5"/>
    <w:basedOn w:val="Normal"/>
    <w:autoRedefine/>
    <w:rsid w:val="00CB6B64"/>
    <w:pPr>
      <w:spacing w:before="120" w:line="280" w:lineRule="exact"/>
      <w:ind w:right="62"/>
    </w:pPr>
    <w:rPr>
      <w:rFonts w:eastAsia="Times New Roman" w:cs="Times New Roman"/>
      <w:b/>
      <w:i/>
      <w:lang w:val="en-GB" w:eastAsia="da-DK" w:bidi="hi-IN"/>
    </w:rPr>
  </w:style>
  <w:style w:type="paragraph" w:customStyle="1" w:styleId="Bulletpoints3">
    <w:name w:val="Bullet points 3"/>
    <w:basedOn w:val="Normal"/>
    <w:autoRedefine/>
    <w:rsid w:val="00CB6B64"/>
    <w:pPr>
      <w:numPr>
        <w:numId w:val="12"/>
      </w:numPr>
      <w:autoSpaceDE w:val="0"/>
      <w:autoSpaceDN w:val="0"/>
      <w:adjustRightInd w:val="0"/>
      <w:spacing w:after="0" w:line="300" w:lineRule="atLeast"/>
      <w:ind w:left="1985" w:right="50" w:hanging="284"/>
    </w:pPr>
    <w:rPr>
      <w:rFonts w:eastAsia="Times New Roman" w:cs="Times New Roman"/>
      <w:bCs/>
      <w:sz w:val="22"/>
      <w:szCs w:val="20"/>
      <w:lang w:val="en-GB" w:eastAsia="fr-FR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8E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c.europa.eu/environment/gpp/toolkit_e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nn.i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D5CA-FC9D-43BB-90B6-E661D5A4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 ehf</Company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Alta</cp:lastModifiedBy>
  <cp:revision>11</cp:revision>
  <cp:lastPrinted>2012-08-10T13:09:00Z</cp:lastPrinted>
  <dcterms:created xsi:type="dcterms:W3CDTF">2012-08-10T11:09:00Z</dcterms:created>
  <dcterms:modified xsi:type="dcterms:W3CDTF">2012-08-10T13:17:00Z</dcterms:modified>
</cp:coreProperties>
</file>