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87"/>
        <w:gridCol w:w="1011"/>
        <w:gridCol w:w="1728"/>
      </w:tblGrid>
      <w:tr w:rsidR="00F51B15" w:rsidTr="000A49FB">
        <w:trPr>
          <w:trHeight w:val="680"/>
        </w:trPr>
        <w:tc>
          <w:tcPr>
            <w:tcW w:w="6487" w:type="dxa"/>
            <w:vMerge w:val="restart"/>
            <w:vAlign w:val="center"/>
          </w:tcPr>
          <w:p w:rsidR="00F51B15" w:rsidRPr="000A49FB" w:rsidRDefault="00154BC4" w:rsidP="000A49FB">
            <w:pPr>
              <w:pStyle w:val="Titill"/>
            </w:pPr>
            <w:r>
              <w:t>Síma</w:t>
            </w:r>
            <w:r w:rsidR="00424FF4">
              <w:t>vörur</w:t>
            </w:r>
            <w:r w:rsidR="00F51B15" w:rsidRPr="000A49FB">
              <w:t xml:space="preserve"> - umhverfisskilyrði</w:t>
            </w:r>
          </w:p>
        </w:tc>
        <w:tc>
          <w:tcPr>
            <w:tcW w:w="1011" w:type="dxa"/>
            <w:vAlign w:val="bottom"/>
          </w:tcPr>
          <w:p w:rsidR="00F51B15" w:rsidRDefault="00F51B15">
            <w:r>
              <w:t>Dags.</w:t>
            </w:r>
          </w:p>
        </w:tc>
        <w:tc>
          <w:tcPr>
            <w:tcW w:w="1728" w:type="dxa"/>
            <w:vAlign w:val="bottom"/>
          </w:tcPr>
          <w:p w:rsidR="00F51B15" w:rsidRPr="00BC46AD" w:rsidRDefault="00F51B15" w:rsidP="00920E19">
            <w:pPr>
              <w:jc w:val="right"/>
            </w:pPr>
            <w:r w:rsidRPr="00BC46AD">
              <w:t>201</w:t>
            </w:r>
            <w:r w:rsidR="00BE0B7F" w:rsidRPr="00BC46AD">
              <w:t>3</w:t>
            </w:r>
            <w:r w:rsidRPr="00BC46AD">
              <w:t>-</w:t>
            </w:r>
            <w:r w:rsidR="00627124" w:rsidRPr="00BC46AD">
              <w:t>0</w:t>
            </w:r>
            <w:r w:rsidR="00BC46AD" w:rsidRPr="00BC46AD">
              <w:t>9</w:t>
            </w:r>
            <w:r w:rsidRPr="00BC46AD">
              <w:t>-</w:t>
            </w:r>
            <w:r w:rsidR="00920E19">
              <w:t>16</w:t>
            </w:r>
          </w:p>
        </w:tc>
      </w:tr>
      <w:tr w:rsidR="00F51B15" w:rsidTr="000A49FB">
        <w:trPr>
          <w:trHeight w:val="680"/>
        </w:trPr>
        <w:tc>
          <w:tcPr>
            <w:tcW w:w="6487" w:type="dxa"/>
            <w:vMerge/>
            <w:vAlign w:val="center"/>
          </w:tcPr>
          <w:p w:rsidR="00F51B15" w:rsidRDefault="00F51B15"/>
        </w:tc>
        <w:tc>
          <w:tcPr>
            <w:tcW w:w="1011" w:type="dxa"/>
            <w:vAlign w:val="bottom"/>
          </w:tcPr>
          <w:p w:rsidR="00F51B15" w:rsidRDefault="00F51B15">
            <w:r>
              <w:t>Útgáfa</w:t>
            </w:r>
          </w:p>
        </w:tc>
        <w:tc>
          <w:tcPr>
            <w:tcW w:w="1728" w:type="dxa"/>
            <w:vAlign w:val="bottom"/>
          </w:tcPr>
          <w:p w:rsidR="00F51B15" w:rsidRPr="00BC46AD" w:rsidRDefault="006F38A1" w:rsidP="00BE0B7F">
            <w:pPr>
              <w:jc w:val="right"/>
            </w:pPr>
            <w:r w:rsidRPr="00BC46AD">
              <w:t>1</w:t>
            </w:r>
            <w:r w:rsidR="00BE0B7F" w:rsidRPr="00BC46AD">
              <w:t>.0</w:t>
            </w:r>
          </w:p>
        </w:tc>
      </w:tr>
    </w:tbl>
    <w:p w:rsidR="007566D8" w:rsidRPr="00F51B15" w:rsidRDefault="000A49FB" w:rsidP="00994DE5">
      <w:pPr>
        <w:pStyle w:val="Heading1"/>
        <w:numPr>
          <w:ilvl w:val="0"/>
          <w:numId w:val="0"/>
        </w:numPr>
        <w:ind w:left="431" w:hanging="431"/>
      </w:pPr>
      <w:r>
        <w:t>V</w:t>
      </w:r>
      <w:r w:rsidR="007566D8" w:rsidRPr="00F51B15">
        <w:t>iðfangsefni og gildissvið</w:t>
      </w:r>
    </w:p>
    <w:p w:rsidR="002A0F11" w:rsidRDefault="002A0F11" w:rsidP="002A0F11">
      <w:r>
        <w:t xml:space="preserve">Umhverfisskilyrðin eru sett fram á vegum verkefnisins Vistvæn innkaup sem er samstarfsverkefni ríkis og sveitarfélaga, sjá nánar á </w:t>
      </w:r>
      <w:hyperlink r:id="rId9" w:history="1">
        <w:r w:rsidRPr="00E06B88">
          <w:rPr>
            <w:rStyle w:val="Hyperlink"/>
          </w:rPr>
          <w:t>www.vinn.is</w:t>
        </w:r>
      </w:hyperlink>
      <w:r>
        <w:t xml:space="preserve">. </w:t>
      </w:r>
    </w:p>
    <w:p w:rsidR="002A0F11" w:rsidRDefault="002A0F11" w:rsidP="002A0F11">
      <w:r>
        <w:t>Umhverfisskilyrðin eru</w:t>
      </w:r>
      <w:r w:rsidRPr="00DD1129">
        <w:t xml:space="preserve"> byggð á </w:t>
      </w:r>
      <w:r w:rsidR="00BE0B7F">
        <w:t xml:space="preserve">sænskum </w:t>
      </w:r>
      <w:r w:rsidRPr="00DD1129">
        <w:t xml:space="preserve">viðmiðum </w:t>
      </w:r>
      <w:proofErr w:type="spellStart"/>
      <w:r w:rsidR="00191544">
        <w:t>Miljöstyrningsr</w:t>
      </w:r>
      <w:proofErr w:type="spellEnd"/>
      <w:r w:rsidR="00191544">
        <w:t>ådet</w:t>
      </w:r>
      <w:r>
        <w:t xml:space="preserve">, </w:t>
      </w:r>
      <w:hyperlink r:id="rId10" w:history="1">
        <w:r w:rsidR="009C674C">
          <w:rPr>
            <w:rStyle w:val="Hyperlink"/>
          </w:rPr>
          <w:t>http://www.msr.se/Upphandling/Kriterier/IT-och-telekom/Telefoniprodukter/</w:t>
        </w:r>
      </w:hyperlink>
    </w:p>
    <w:p w:rsidR="002A0F11" w:rsidRPr="00064228" w:rsidRDefault="002A0F11" w:rsidP="002A0F11">
      <w:pPr>
        <w:rPr>
          <w:b/>
        </w:rPr>
      </w:pPr>
      <w:r w:rsidRPr="00064228">
        <w:rPr>
          <w:b/>
        </w:rPr>
        <w:t xml:space="preserve">Þessi skilyrði </w:t>
      </w:r>
      <w:r w:rsidR="00627124" w:rsidRPr="00064228">
        <w:rPr>
          <w:b/>
        </w:rPr>
        <w:t xml:space="preserve">taka til </w:t>
      </w:r>
      <w:r w:rsidRPr="00064228">
        <w:rPr>
          <w:b/>
        </w:rPr>
        <w:t>innkaup</w:t>
      </w:r>
      <w:r w:rsidR="00627124" w:rsidRPr="00064228">
        <w:rPr>
          <w:b/>
        </w:rPr>
        <w:t>a</w:t>
      </w:r>
      <w:r w:rsidRPr="00064228">
        <w:rPr>
          <w:b/>
        </w:rPr>
        <w:t xml:space="preserve"> á</w:t>
      </w:r>
      <w:r w:rsidR="00627124" w:rsidRPr="00064228">
        <w:rPr>
          <w:b/>
        </w:rPr>
        <w:t>:</w:t>
      </w:r>
    </w:p>
    <w:p w:rsidR="00660888" w:rsidRPr="009C674C" w:rsidRDefault="0055620D" w:rsidP="001F11E9">
      <w:pPr>
        <w:pStyle w:val="ListParagraph"/>
        <w:numPr>
          <w:ilvl w:val="0"/>
          <w:numId w:val="1"/>
        </w:numPr>
        <w:spacing w:after="200"/>
        <w:rPr>
          <w:b/>
        </w:rPr>
      </w:pPr>
      <w:r>
        <w:rPr>
          <w:b/>
          <w:szCs w:val="24"/>
        </w:rPr>
        <w:t>Farsímum</w:t>
      </w:r>
    </w:p>
    <w:p w:rsidR="009C674C" w:rsidRPr="009C674C" w:rsidRDefault="0055620D" w:rsidP="001F11E9">
      <w:pPr>
        <w:pStyle w:val="ListParagraph"/>
        <w:numPr>
          <w:ilvl w:val="0"/>
          <w:numId w:val="1"/>
        </w:numPr>
        <w:spacing w:after="200"/>
      </w:pPr>
      <w:r>
        <w:rPr>
          <w:b/>
        </w:rPr>
        <w:t>Hleðslutækjum</w:t>
      </w:r>
      <w:r w:rsidR="009C674C" w:rsidRPr="009C674C">
        <w:rPr>
          <w:b/>
        </w:rPr>
        <w:t xml:space="preserve"> fyrir farsíma</w:t>
      </w:r>
    </w:p>
    <w:p w:rsidR="009C674C" w:rsidRPr="009C674C" w:rsidRDefault="0055620D" w:rsidP="001F11E9">
      <w:pPr>
        <w:pStyle w:val="ListParagraph"/>
        <w:numPr>
          <w:ilvl w:val="0"/>
          <w:numId w:val="1"/>
        </w:numPr>
        <w:spacing w:after="200"/>
      </w:pPr>
      <w:r>
        <w:rPr>
          <w:b/>
        </w:rPr>
        <w:t>Þráðlaus</w:t>
      </w:r>
      <w:r w:rsidR="00FB3BFA">
        <w:rPr>
          <w:b/>
        </w:rPr>
        <w:t>um</w:t>
      </w:r>
      <w:r>
        <w:rPr>
          <w:b/>
        </w:rPr>
        <w:t xml:space="preserve"> sím</w:t>
      </w:r>
      <w:r w:rsidR="00FB3BFA">
        <w:rPr>
          <w:b/>
        </w:rPr>
        <w:t>um</w:t>
      </w:r>
    </w:p>
    <w:p w:rsidR="006F38A1" w:rsidRDefault="006F38A1" w:rsidP="006F38A1"/>
    <w:p w:rsidR="006F38A1" w:rsidRDefault="006F38A1" w:rsidP="006F38A1">
      <w:r>
        <w:t>Umhverfisskilyrðin skiptast í grunnviðmið og ítarviðmið. Við gerð útboðsgagna er hægt að nýta annað hvort grunn- eða ítarviðmiðin:</w:t>
      </w:r>
    </w:p>
    <w:p w:rsidR="006F38A1" w:rsidRDefault="006F38A1" w:rsidP="001F11E9">
      <w:pPr>
        <w:pStyle w:val="ListParagraph"/>
        <w:numPr>
          <w:ilvl w:val="0"/>
          <w:numId w:val="11"/>
        </w:numPr>
      </w:pPr>
      <w:r>
        <w:rPr>
          <w:b/>
        </w:rPr>
        <w:t>Grunnviðmið</w:t>
      </w:r>
      <w:r>
        <w:t>; með þeim er lögð áhersla á mikilvægustu umhverfisáhrif vörunnar eða þjónustunnar. Viðmiðin eru nokkuð auðvelt að sannreyna að séu uppfyllt.</w:t>
      </w:r>
    </w:p>
    <w:p w:rsidR="006F38A1" w:rsidRDefault="006F38A1" w:rsidP="001F11E9">
      <w:pPr>
        <w:pStyle w:val="ListParagraph"/>
        <w:numPr>
          <w:ilvl w:val="0"/>
          <w:numId w:val="11"/>
        </w:numPr>
      </w:pPr>
      <w:r>
        <w:rPr>
          <w:b/>
        </w:rPr>
        <w:t>Ítarviðmið</w:t>
      </w:r>
      <w:r>
        <w:t xml:space="preserve">; gera meiri kröfur til vörunnar eða þjónustunnar um að hún sé sú besta á markaðnum. Til að sannreyna að ítarviðmiðin séu uppfyllt getur þurft meiri þekkingu á vistvænum innkaupum. </w:t>
      </w:r>
    </w:p>
    <w:p w:rsidR="006F38A1" w:rsidRDefault="006F38A1" w:rsidP="006F38A1">
      <w:r>
        <w:t>Grunn- og ítarviðmiðin samanstanda af lágmarksskilyrðum og matsviðmiðum:</w:t>
      </w:r>
    </w:p>
    <w:p w:rsidR="006F38A1" w:rsidRDefault="006F38A1" w:rsidP="006F38A1">
      <w:r>
        <w:rPr>
          <w:b/>
        </w:rPr>
        <w:t>Lágmarksskilyrði</w:t>
      </w:r>
      <w:r>
        <w:t>; eru ófrávíkjanleg skilyrði sem boðin vara eða þjónusta skal uppfylla til að tilboð verði tekið til nánari skoðunar.</w:t>
      </w:r>
    </w:p>
    <w:p w:rsidR="002A0F11" w:rsidRPr="00DD1129" w:rsidRDefault="006F38A1" w:rsidP="00DA346D">
      <w:r>
        <w:rPr>
          <w:b/>
        </w:rPr>
        <w:t>Matsviðmið</w:t>
      </w:r>
      <w:r>
        <w:t xml:space="preserve">; má nota ef útboðsaðili vill veita tilboði aukastig sem stendur sig betur en lágmarksskilyrðin segja til um varðandi umhverfisþætti. Í stigamatsgjöf geta matsviðmið fyrir umhverfisþætti vegið 10 til 15% af heildareinkunn. </w:t>
      </w:r>
    </w:p>
    <w:p w:rsidR="007566D8" w:rsidRPr="00295BA7" w:rsidRDefault="00064228" w:rsidP="007D3928">
      <w:pPr>
        <w:pStyle w:val="Heading1"/>
        <w:numPr>
          <w:ilvl w:val="0"/>
          <w:numId w:val="0"/>
        </w:numPr>
        <w:ind w:left="431" w:hanging="431"/>
      </w:pPr>
      <w:r w:rsidRPr="00295BA7">
        <w:t>H</w:t>
      </w:r>
      <w:r w:rsidR="00F404FF" w:rsidRPr="00295BA7">
        <w:t>elstu umhverfisáhrif</w:t>
      </w:r>
    </w:p>
    <w:p w:rsidR="007278D6" w:rsidRPr="00295BA7" w:rsidRDefault="009C674C" w:rsidP="007278D6">
      <w:r w:rsidRPr="00295BA7">
        <w:t xml:space="preserve">Greining á líftímakostnaði farsíma </w:t>
      </w:r>
      <w:r w:rsidR="00295BA7" w:rsidRPr="00295BA7">
        <w:t>sýnir</w:t>
      </w:r>
      <w:r w:rsidRPr="00295BA7">
        <w:t xml:space="preserve"> að orkunotkun við framleiðslu og </w:t>
      </w:r>
      <w:r w:rsidR="00295BA7" w:rsidRPr="00295BA7">
        <w:t xml:space="preserve">á </w:t>
      </w:r>
      <w:r w:rsidRPr="00295BA7">
        <w:t>notkun</w:t>
      </w:r>
      <w:r w:rsidR="00295BA7" w:rsidRPr="00295BA7">
        <w:t>artíma</w:t>
      </w:r>
      <w:r w:rsidRPr="00295BA7">
        <w:t xml:space="preserve"> farsíma ásamt varasöm</w:t>
      </w:r>
      <w:r w:rsidR="00295BA7" w:rsidRPr="00295BA7">
        <w:t>um</w:t>
      </w:r>
      <w:r w:rsidRPr="00295BA7">
        <w:t xml:space="preserve"> hráefn</w:t>
      </w:r>
      <w:r w:rsidR="00295BA7" w:rsidRPr="00295BA7">
        <w:t>um</w:t>
      </w:r>
      <w:r w:rsidRPr="00295BA7">
        <w:t xml:space="preserve"> vald</w:t>
      </w:r>
      <w:r w:rsidR="00295BA7" w:rsidRPr="00295BA7">
        <w:t>a</w:t>
      </w:r>
      <w:r w:rsidRPr="00295BA7">
        <w:t xml:space="preserve"> helstu umhverfisáhrifum</w:t>
      </w:r>
      <w:r w:rsidR="00295BA7" w:rsidRPr="00295BA7">
        <w:t xml:space="preserve"> farsíma</w:t>
      </w:r>
      <w:r w:rsidRPr="00295BA7">
        <w:t>.</w:t>
      </w:r>
    </w:p>
    <w:p w:rsidR="009C674C" w:rsidRDefault="009C674C">
      <w:pPr>
        <w:spacing w:after="200"/>
        <w:rPr>
          <w:rFonts w:eastAsiaTheme="majorEastAsia" w:cstheme="majorBidi"/>
          <w:b/>
          <w:bCs/>
          <w:smallCaps/>
          <w:sz w:val="32"/>
          <w:szCs w:val="28"/>
        </w:rPr>
      </w:pPr>
      <w:r>
        <w:br w:type="page"/>
      </w:r>
    </w:p>
    <w:p w:rsidR="00660888" w:rsidRDefault="009C674C" w:rsidP="00660888">
      <w:pPr>
        <w:pStyle w:val="Heading1"/>
      </w:pPr>
      <w:r>
        <w:lastRenderedPageBreak/>
        <w:t>Farsímar</w:t>
      </w:r>
    </w:p>
    <w:tbl>
      <w:tblPr>
        <w:tblStyle w:val="TableGrid11"/>
        <w:tblW w:w="9180" w:type="dxa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6F38A1" w:rsidTr="00EF4A23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38A1" w:rsidRDefault="006F38A1" w:rsidP="00F60506">
            <w:pPr>
              <w:pStyle w:val="Titill"/>
              <w:jc w:val="center"/>
            </w:pPr>
            <w:r>
              <w:t>Grunnviðmið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38A1" w:rsidRDefault="006F38A1" w:rsidP="00F60506">
            <w:pPr>
              <w:spacing w:before="120"/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Ítarviðmið</w:t>
            </w:r>
          </w:p>
        </w:tc>
      </w:tr>
      <w:tr w:rsidR="006F38A1" w:rsidRPr="00F60506" w:rsidTr="00EF4A23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38A1" w:rsidRDefault="006F38A1" w:rsidP="00F6050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LÁGMARKSSKILYRÐI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38A1" w:rsidRDefault="006F38A1" w:rsidP="00F6050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LÁGMARKSSKILYRÐI</w:t>
            </w:r>
          </w:p>
        </w:tc>
      </w:tr>
      <w:tr w:rsidR="006F38A1" w:rsidTr="00EF4A23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1" w:rsidRPr="006C5B6B" w:rsidRDefault="00FF1A81" w:rsidP="001F11E9">
            <w:pPr>
              <w:pStyle w:val="ListParagraph"/>
              <w:numPr>
                <w:ilvl w:val="0"/>
                <w:numId w:val="3"/>
              </w:numPr>
              <w:spacing w:after="200"/>
              <w:rPr>
                <w:b/>
              </w:rPr>
            </w:pPr>
            <w:r>
              <w:rPr>
                <w:b/>
              </w:rPr>
              <w:t>Eldtefjandi efni</w:t>
            </w:r>
          </w:p>
          <w:p w:rsidR="00FF1A81" w:rsidRDefault="00C55F1B" w:rsidP="00FF1A81">
            <w:pPr>
              <w:spacing w:after="200"/>
            </w:pPr>
            <w:proofErr w:type="spellStart"/>
            <w:r>
              <w:t>Brómeruð</w:t>
            </w:r>
            <w:proofErr w:type="spellEnd"/>
            <w:r>
              <w:t xml:space="preserve"> eða klóruð e</w:t>
            </w:r>
            <w:r w:rsidR="00FB3BFA">
              <w:t xml:space="preserve">ldtefjandi efni í </w:t>
            </w:r>
            <w:r>
              <w:t>einsleitum efnum í</w:t>
            </w:r>
            <w:r w:rsidR="00FF1A81">
              <w:t xml:space="preserve"> hulstrum, </w:t>
            </w:r>
            <w:r>
              <w:t xml:space="preserve">köplum, </w:t>
            </w:r>
            <w:r w:rsidR="00FF1A81">
              <w:t>rásaborðum og öðrum rafmagns</w:t>
            </w:r>
            <w:r w:rsidR="00F43E89">
              <w:t xml:space="preserve"> eða rafefnafræðilegum hlutum</w:t>
            </w:r>
            <w:r w:rsidR="0071522A">
              <w:t>,</w:t>
            </w:r>
            <w:r w:rsidR="00FF1A81">
              <w:t xml:space="preserve"> </w:t>
            </w:r>
            <w:r w:rsidR="00F43E89">
              <w:t>skulu vera undir</w:t>
            </w:r>
            <w:r w:rsidR="00FF1A81">
              <w:t xml:space="preserve"> 0,1% miða</w:t>
            </w:r>
            <w:r w:rsidR="00F43E89">
              <w:t>ð</w:t>
            </w:r>
            <w:r w:rsidR="00FF1A81">
              <w:t xml:space="preserve"> við </w:t>
            </w:r>
            <w:r w:rsidR="00F43E89">
              <w:t>þyngd</w:t>
            </w:r>
            <w:r w:rsidR="00FF1A81">
              <w:t>. Hvarfgjarnt</w:t>
            </w:r>
            <w:r w:rsidR="00F43E89">
              <w:t xml:space="preserve"> TBBPA </w:t>
            </w:r>
            <w:r w:rsidR="00F43E89" w:rsidRPr="00F43E89">
              <w:t>(</w:t>
            </w:r>
            <w:proofErr w:type="spellStart"/>
            <w:r w:rsidR="00F43E89" w:rsidRPr="00F43E89">
              <w:t>tetrabromobisphenol</w:t>
            </w:r>
            <w:proofErr w:type="spellEnd"/>
            <w:r w:rsidR="00F43E89" w:rsidRPr="00F43E89">
              <w:t xml:space="preserve"> A</w:t>
            </w:r>
            <w:r w:rsidR="00FF1A81" w:rsidRPr="00F43E89">
              <w:t>)</w:t>
            </w:r>
            <w:r w:rsidR="00FF1A81">
              <w:t xml:space="preserve"> er undanskilið </w:t>
            </w:r>
            <w:r w:rsidR="00F43E89">
              <w:t>þessum kröfum</w:t>
            </w:r>
            <w:r w:rsidR="00FF1A81">
              <w:t>.</w:t>
            </w:r>
          </w:p>
          <w:p w:rsidR="00FF1A81" w:rsidRDefault="00FF1A81" w:rsidP="0071522A">
            <w:r>
              <w:t>Með einsleitum efnum er</w:t>
            </w:r>
            <w:r w:rsidRPr="0093108E">
              <w:t xml:space="preserve"> átt við einstök efni sem hafa sömu efnasamsetningu</w:t>
            </w:r>
            <w:r w:rsidR="0071522A">
              <w:t>,</w:t>
            </w:r>
            <w:r w:rsidRPr="0093108E">
              <w:t xml:space="preserve"> eða </w:t>
            </w:r>
            <w:r w:rsidR="0071522A">
              <w:t xml:space="preserve">samsett </w:t>
            </w:r>
            <w:r w:rsidRPr="0093108E">
              <w:t>efni úr mismunandi efnasamsamböndum</w:t>
            </w:r>
            <w:r w:rsidR="0071522A">
              <w:t>,</w:t>
            </w:r>
            <w:r w:rsidRPr="0093108E">
              <w:t xml:space="preserve"> en er ekki hægt </w:t>
            </w:r>
            <w:r w:rsidR="00F31D1A">
              <w:t>aðgreina</w:t>
            </w:r>
            <w:r w:rsidRPr="0093108E">
              <w:t xml:space="preserve"> með vélrænum aðgerðum </w:t>
            </w:r>
            <w:r w:rsidR="0071522A">
              <w:t xml:space="preserve">svo sem að </w:t>
            </w:r>
            <w:r w:rsidRPr="0093108E">
              <w:t>skrúfa, skera, mala eða slípa</w:t>
            </w:r>
            <w:r w:rsidR="0071522A">
              <w:t xml:space="preserve"> (samkvæmt skilgreiningu </w:t>
            </w:r>
            <w:proofErr w:type="spellStart"/>
            <w:r w:rsidR="0071522A">
              <w:t>RoHS</w:t>
            </w:r>
            <w:proofErr w:type="spellEnd"/>
            <w:r w:rsidR="0071522A">
              <w:t xml:space="preserve"> 2011/65/EU</w:t>
            </w:r>
            <w:r w:rsidR="0071522A" w:rsidRPr="0071522A">
              <w:t>)</w:t>
            </w:r>
            <w:r w:rsidRPr="0071522A">
              <w:t>.</w:t>
            </w:r>
          </w:p>
          <w:p w:rsidR="006F38A1" w:rsidRDefault="00FF1A81" w:rsidP="0075637E">
            <w:r w:rsidRPr="001135B4">
              <w:rPr>
                <w:b/>
              </w:rPr>
              <w:t>Staðfesting</w:t>
            </w:r>
            <w:r>
              <w:t xml:space="preserve">: </w:t>
            </w:r>
            <w:r w:rsidR="0075637E">
              <w:t>Yfirlýsing</w:t>
            </w:r>
            <w:r>
              <w:t xml:space="preserve"> frá birgja.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2A" w:rsidRPr="006C5B6B" w:rsidRDefault="0071522A" w:rsidP="0071522A">
            <w:pPr>
              <w:pStyle w:val="ListParagraph"/>
              <w:numPr>
                <w:ilvl w:val="0"/>
                <w:numId w:val="15"/>
              </w:numPr>
              <w:spacing w:after="200"/>
              <w:rPr>
                <w:b/>
              </w:rPr>
            </w:pPr>
            <w:r>
              <w:rPr>
                <w:b/>
              </w:rPr>
              <w:t>Eldtefjandi efni</w:t>
            </w:r>
          </w:p>
          <w:p w:rsidR="0071522A" w:rsidRDefault="0071522A" w:rsidP="0071522A">
            <w:pPr>
              <w:spacing w:after="200"/>
            </w:pPr>
            <w:proofErr w:type="spellStart"/>
            <w:r>
              <w:t>Brómeruð</w:t>
            </w:r>
            <w:proofErr w:type="spellEnd"/>
            <w:r>
              <w:t xml:space="preserve"> eða klóruð eldtefjandi efni í einsleitum efnum í hulstrum, köplum, rásaborðum og öðrum rafmagns eða rafefnafræðilegum hlutum, skulu vera undir 0,1% miðað við þyngd. Hvarfgjarnt TBBPA </w:t>
            </w:r>
            <w:r w:rsidRPr="00F43E89">
              <w:t>(</w:t>
            </w:r>
            <w:proofErr w:type="spellStart"/>
            <w:r w:rsidRPr="00F43E89">
              <w:t>tetrabromobisphenol</w:t>
            </w:r>
            <w:proofErr w:type="spellEnd"/>
            <w:r w:rsidRPr="00F43E89">
              <w:t xml:space="preserve"> A)</w:t>
            </w:r>
            <w:r>
              <w:t xml:space="preserve"> er undanskilið þessum kröfum.</w:t>
            </w:r>
          </w:p>
          <w:p w:rsidR="0071522A" w:rsidRDefault="0071522A" w:rsidP="0071522A">
            <w:r>
              <w:t>Með einsleitum efnum er</w:t>
            </w:r>
            <w:r w:rsidRPr="0093108E">
              <w:t xml:space="preserve"> átt við einstök efni sem hafa sömu efnasamsetningu</w:t>
            </w:r>
            <w:r>
              <w:t>,</w:t>
            </w:r>
            <w:r w:rsidRPr="0093108E">
              <w:t xml:space="preserve"> eða </w:t>
            </w:r>
            <w:r>
              <w:t xml:space="preserve">samsett </w:t>
            </w:r>
            <w:r w:rsidRPr="0093108E">
              <w:t>efni úr mismunandi efnasamsamböndum</w:t>
            </w:r>
            <w:r>
              <w:t>,</w:t>
            </w:r>
            <w:r w:rsidRPr="0093108E">
              <w:t xml:space="preserve"> en er ekki hægt aðskilja í mismunandi efni með vélrænum aðgerðum </w:t>
            </w:r>
            <w:r>
              <w:t xml:space="preserve">svo sem að </w:t>
            </w:r>
            <w:r w:rsidRPr="0093108E">
              <w:t>skrúfa, skera, mala eða slípa</w:t>
            </w:r>
            <w:r>
              <w:t xml:space="preserve"> (samkvæmt skilgreiningu </w:t>
            </w:r>
            <w:proofErr w:type="spellStart"/>
            <w:r>
              <w:t>RoHS</w:t>
            </w:r>
            <w:proofErr w:type="spellEnd"/>
            <w:r>
              <w:t xml:space="preserve"> 2011/65/EU</w:t>
            </w:r>
            <w:r w:rsidRPr="0071522A">
              <w:t>).</w:t>
            </w:r>
          </w:p>
          <w:p w:rsidR="006F38A1" w:rsidRDefault="0071522A" w:rsidP="0071522A">
            <w:r w:rsidRPr="001135B4">
              <w:rPr>
                <w:b/>
              </w:rPr>
              <w:t>Staðfesting</w:t>
            </w:r>
            <w:r>
              <w:t xml:space="preserve">: </w:t>
            </w:r>
            <w:r w:rsidR="0075637E">
              <w:t xml:space="preserve">Yfirlýsing </w:t>
            </w:r>
            <w:r>
              <w:t>frá birgja.</w:t>
            </w:r>
          </w:p>
        </w:tc>
      </w:tr>
      <w:tr w:rsidR="00FF1A81" w:rsidTr="00EF4A23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1" w:rsidRPr="0070445C" w:rsidRDefault="00FF1A81" w:rsidP="0070445C">
            <w:pPr>
              <w:pStyle w:val="ListParagraph"/>
              <w:numPr>
                <w:ilvl w:val="0"/>
                <w:numId w:val="15"/>
              </w:numPr>
              <w:spacing w:after="200"/>
              <w:rPr>
                <w:b/>
              </w:rPr>
            </w:pPr>
            <w:r w:rsidRPr="0070445C">
              <w:rPr>
                <w:b/>
              </w:rPr>
              <w:t>Þalöt</w:t>
            </w:r>
          </w:p>
          <w:p w:rsidR="00FF1A81" w:rsidRDefault="008C351B" w:rsidP="00FF1A81">
            <w:pPr>
              <w:spacing w:after="200"/>
            </w:pPr>
            <w:r>
              <w:t>Eftirfarandi efnasambönd í e</w:t>
            </w:r>
            <w:r w:rsidR="0071522A">
              <w:t>insleit</w:t>
            </w:r>
            <w:r>
              <w:t>um</w:t>
            </w:r>
            <w:r w:rsidR="0071522A">
              <w:t xml:space="preserve"> efn</w:t>
            </w:r>
            <w:r>
              <w:t>um</w:t>
            </w:r>
            <w:r w:rsidR="0071522A">
              <w:t xml:space="preserve"> í</w:t>
            </w:r>
            <w:r w:rsidR="00FF1A81">
              <w:t>hlut</w:t>
            </w:r>
            <w:r>
              <w:t>a</w:t>
            </w:r>
            <w:r w:rsidR="00FF1A81">
              <w:t xml:space="preserve"> og k</w:t>
            </w:r>
            <w:r>
              <w:t>apla</w:t>
            </w:r>
            <w:r w:rsidR="00FF1A81">
              <w:t xml:space="preserve"> </w:t>
            </w:r>
            <w:r w:rsidR="00C40CED">
              <w:t>farsíma</w:t>
            </w:r>
            <w:r w:rsidR="00FF1A81">
              <w:t xml:space="preserve"> skulu </w:t>
            </w:r>
            <w:r>
              <w:t>vera undir</w:t>
            </w:r>
            <w:r w:rsidR="00FF1A81">
              <w:t xml:space="preserve"> 0,1% </w:t>
            </w:r>
            <w:r>
              <w:t xml:space="preserve">miðað við </w:t>
            </w:r>
            <w:r w:rsidR="00295BA7">
              <w:t>þyngd</w:t>
            </w:r>
            <w:r w:rsidR="00FF1A81">
              <w:t>:</w:t>
            </w:r>
          </w:p>
          <w:p w:rsidR="00FF1A81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</w:pPr>
            <w:r>
              <w:t>Bis(2-</w:t>
            </w:r>
            <w:proofErr w:type="spellStart"/>
            <w:r>
              <w:t>etýlhexýl</w:t>
            </w:r>
            <w:proofErr w:type="spellEnd"/>
            <w:r>
              <w:t>)þalat (DEHP, CAS nr. 117-81-7)</w:t>
            </w:r>
          </w:p>
          <w:p w:rsidR="00FF1A81" w:rsidRPr="00F42D87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  <w:rPr>
                <w:sz w:val="22"/>
              </w:rPr>
            </w:pPr>
            <w:proofErr w:type="spellStart"/>
            <w:r>
              <w:t>Bensýlbútýlþalat</w:t>
            </w:r>
            <w:proofErr w:type="spellEnd"/>
            <w:r>
              <w:t xml:space="preserve"> </w:t>
            </w:r>
            <w:r w:rsidRPr="00F42D87">
              <w:rPr>
                <w:sz w:val="22"/>
              </w:rPr>
              <w:t>(BBP, CAS nr. 85-68-7)</w:t>
            </w:r>
          </w:p>
          <w:p w:rsidR="00FF1A81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</w:pPr>
            <w:proofErr w:type="spellStart"/>
            <w:r>
              <w:t>Díbútýlþalat</w:t>
            </w:r>
            <w:proofErr w:type="spellEnd"/>
            <w:r>
              <w:t xml:space="preserve"> (DBP, CAS nr. 84-74-2)</w:t>
            </w:r>
          </w:p>
          <w:p w:rsidR="00FF1A81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</w:pPr>
            <w:proofErr w:type="spellStart"/>
            <w:r>
              <w:t>Díísóbútýlþalat</w:t>
            </w:r>
            <w:proofErr w:type="spellEnd"/>
            <w:r>
              <w:t xml:space="preserve"> (DIBP, CAS nr. 84-69-5)</w:t>
            </w:r>
          </w:p>
          <w:p w:rsidR="00FF1A81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</w:pPr>
            <w:proofErr w:type="spellStart"/>
            <w:r>
              <w:t>Díísóheptýlþalat</w:t>
            </w:r>
            <w:proofErr w:type="spellEnd"/>
            <w:r>
              <w:t xml:space="preserve"> </w:t>
            </w:r>
            <w:bookmarkStart w:id="0" w:name="_GoBack"/>
            <w:r>
              <w:t>(DIHP, CAS nr.71888-89-6)</w:t>
            </w:r>
          </w:p>
          <w:bookmarkEnd w:id="0"/>
          <w:p w:rsidR="00FF1A81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</w:pPr>
            <w:proofErr w:type="spellStart"/>
            <w:r>
              <w:t>Di</w:t>
            </w:r>
            <w:proofErr w:type="spellEnd"/>
            <w:r>
              <w:t>(</w:t>
            </w:r>
            <w:proofErr w:type="spellStart"/>
            <w:r>
              <w:t>heptýl</w:t>
            </w:r>
            <w:proofErr w:type="spellEnd"/>
            <w:r>
              <w:t xml:space="preserve">, </w:t>
            </w:r>
            <w:proofErr w:type="spellStart"/>
            <w:r>
              <w:t>nonýl</w:t>
            </w:r>
            <w:proofErr w:type="spellEnd"/>
            <w:r>
              <w:t xml:space="preserve">, </w:t>
            </w:r>
            <w:proofErr w:type="spellStart"/>
            <w:r>
              <w:t>undecýl</w:t>
            </w:r>
            <w:proofErr w:type="spellEnd"/>
            <w:r>
              <w:t>) þalöt (DHNUP, CAS nr.68515-42-4)</w:t>
            </w:r>
          </w:p>
          <w:p w:rsidR="00FF1A81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</w:pPr>
            <w:r>
              <w:t>Bis(2-</w:t>
            </w:r>
            <w:proofErr w:type="spellStart"/>
            <w:r>
              <w:t>metoxyetýl</w:t>
            </w:r>
            <w:proofErr w:type="spellEnd"/>
            <w:r>
              <w:t>) þalöt (CAS nr. 117-82-8)</w:t>
            </w:r>
          </w:p>
          <w:p w:rsidR="00FF1A81" w:rsidRDefault="008C351B" w:rsidP="00FF1A81">
            <w:pPr>
              <w:spacing w:after="200"/>
            </w:pPr>
            <w:r>
              <w:t>Með einsleitum efnum er</w:t>
            </w:r>
            <w:r w:rsidRPr="0093108E">
              <w:t xml:space="preserve"> átt við einstök efni sem hafa sömu efnasamsetningu</w:t>
            </w:r>
            <w:r>
              <w:t>,</w:t>
            </w:r>
            <w:r w:rsidRPr="0093108E">
              <w:t xml:space="preserve"> eða </w:t>
            </w:r>
            <w:r>
              <w:t xml:space="preserve">samsett </w:t>
            </w:r>
            <w:r w:rsidRPr="0093108E">
              <w:t>efni úr mismunandi efnasamsamböndum</w:t>
            </w:r>
            <w:r>
              <w:t>,</w:t>
            </w:r>
            <w:r w:rsidRPr="0093108E">
              <w:t xml:space="preserve"> en er ekki hægt aðskilja í mismunandi efni með vélrænum aðgerðum </w:t>
            </w:r>
            <w:r>
              <w:t xml:space="preserve">svo sem að </w:t>
            </w:r>
            <w:r w:rsidRPr="0093108E">
              <w:t>skrúfa, skera, mala eða slípa</w:t>
            </w:r>
            <w:r>
              <w:t xml:space="preserve"> (samkvæmt </w:t>
            </w:r>
            <w:r>
              <w:lastRenderedPageBreak/>
              <w:t xml:space="preserve">skilgreiningu </w:t>
            </w:r>
            <w:proofErr w:type="spellStart"/>
            <w:r>
              <w:t>RoHS</w:t>
            </w:r>
            <w:proofErr w:type="spellEnd"/>
            <w:r>
              <w:t xml:space="preserve"> 2011/65/EU</w:t>
            </w:r>
            <w:r w:rsidRPr="0071522A">
              <w:t>).</w:t>
            </w:r>
          </w:p>
          <w:p w:rsidR="00FF1A81" w:rsidRDefault="00FF1A81" w:rsidP="008C351B">
            <w:pPr>
              <w:rPr>
                <w:b/>
              </w:rPr>
            </w:pPr>
            <w:r w:rsidRPr="002C7F93">
              <w:rPr>
                <w:b/>
              </w:rPr>
              <w:t>Staðfesting</w:t>
            </w:r>
            <w:r>
              <w:t xml:space="preserve">: </w:t>
            </w:r>
            <w:r w:rsidR="008C351B">
              <w:t>Yfirlýsing</w:t>
            </w:r>
            <w:r>
              <w:t xml:space="preserve"> frá birgja.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1" w:rsidRPr="0070445C" w:rsidRDefault="00FF1A81" w:rsidP="0070445C">
            <w:pPr>
              <w:pStyle w:val="ListParagraph"/>
              <w:numPr>
                <w:ilvl w:val="0"/>
                <w:numId w:val="16"/>
              </w:numPr>
              <w:spacing w:after="200"/>
              <w:rPr>
                <w:b/>
              </w:rPr>
            </w:pPr>
            <w:r w:rsidRPr="0070445C">
              <w:rPr>
                <w:b/>
              </w:rPr>
              <w:lastRenderedPageBreak/>
              <w:t>Þalöt</w:t>
            </w:r>
          </w:p>
          <w:p w:rsidR="00FF1A81" w:rsidRDefault="008C351B" w:rsidP="00FF1A81">
            <w:pPr>
              <w:spacing w:after="200"/>
            </w:pPr>
            <w:r>
              <w:t xml:space="preserve">Eftirfarandi efnasambönd í einsleitum efnum íhluta og kapla </w:t>
            </w:r>
            <w:r w:rsidR="00C40CED">
              <w:t>farsíma</w:t>
            </w:r>
            <w:r>
              <w:t xml:space="preserve"> skulu vera undir 0,1% miðað við þyngd</w:t>
            </w:r>
            <w:r w:rsidR="00FF1A81">
              <w:t>:</w:t>
            </w:r>
          </w:p>
          <w:p w:rsidR="00FF1A81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</w:pPr>
            <w:r>
              <w:t>Bis(2-</w:t>
            </w:r>
            <w:proofErr w:type="spellStart"/>
            <w:r>
              <w:t>etýlhexýl</w:t>
            </w:r>
            <w:proofErr w:type="spellEnd"/>
            <w:r>
              <w:t>)þalat (DEHP, CAS nr. 117-81-7)</w:t>
            </w:r>
          </w:p>
          <w:p w:rsidR="00FF1A81" w:rsidRPr="00DF16F2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  <w:rPr>
                <w:sz w:val="22"/>
              </w:rPr>
            </w:pPr>
            <w:proofErr w:type="spellStart"/>
            <w:r>
              <w:t>Bensýlbútýlþalat</w:t>
            </w:r>
            <w:proofErr w:type="spellEnd"/>
            <w:r>
              <w:t xml:space="preserve"> (</w:t>
            </w:r>
            <w:r w:rsidRPr="00DF16F2">
              <w:rPr>
                <w:sz w:val="22"/>
              </w:rPr>
              <w:t>BBP, CAS nr. 85-68-7)</w:t>
            </w:r>
          </w:p>
          <w:p w:rsidR="00FF1A81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</w:pPr>
            <w:proofErr w:type="spellStart"/>
            <w:r>
              <w:t>Díbútýlþalat</w:t>
            </w:r>
            <w:proofErr w:type="spellEnd"/>
            <w:r>
              <w:t xml:space="preserve"> (DBP, CAS nr. 84-74-2)</w:t>
            </w:r>
          </w:p>
          <w:p w:rsidR="00FF1A81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</w:pPr>
            <w:proofErr w:type="spellStart"/>
            <w:r>
              <w:t>Díísóbútýlþalat</w:t>
            </w:r>
            <w:proofErr w:type="spellEnd"/>
            <w:r>
              <w:t xml:space="preserve"> (DIBP, CAS nr. 84-69-5)</w:t>
            </w:r>
          </w:p>
          <w:p w:rsidR="00FF1A81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</w:pPr>
            <w:proofErr w:type="spellStart"/>
            <w:r>
              <w:t>Díísóheptýlþalat</w:t>
            </w:r>
            <w:proofErr w:type="spellEnd"/>
            <w:r>
              <w:t xml:space="preserve"> (DIHP, CAS nr.71888-89-6)</w:t>
            </w:r>
          </w:p>
          <w:p w:rsidR="00FF1A81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</w:pPr>
            <w:proofErr w:type="spellStart"/>
            <w:r>
              <w:t>Di</w:t>
            </w:r>
            <w:proofErr w:type="spellEnd"/>
            <w:r>
              <w:t>(</w:t>
            </w:r>
            <w:proofErr w:type="spellStart"/>
            <w:r>
              <w:t>heptýl</w:t>
            </w:r>
            <w:proofErr w:type="spellEnd"/>
            <w:r>
              <w:t xml:space="preserve">, </w:t>
            </w:r>
            <w:proofErr w:type="spellStart"/>
            <w:r>
              <w:t>nonýl</w:t>
            </w:r>
            <w:proofErr w:type="spellEnd"/>
            <w:r>
              <w:t xml:space="preserve">, </w:t>
            </w:r>
            <w:proofErr w:type="spellStart"/>
            <w:r>
              <w:t>undecýl</w:t>
            </w:r>
            <w:proofErr w:type="spellEnd"/>
            <w:r>
              <w:t>) þalöt (DHNUP, CAS nr.68515-42-4)</w:t>
            </w:r>
          </w:p>
          <w:p w:rsidR="00FF1A81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</w:pPr>
            <w:r>
              <w:t>Bis(2-</w:t>
            </w:r>
            <w:proofErr w:type="spellStart"/>
            <w:r>
              <w:t>metoxyetýl</w:t>
            </w:r>
            <w:proofErr w:type="spellEnd"/>
            <w:r>
              <w:t>) þalöt (CAS nr. 117-82-8)</w:t>
            </w:r>
          </w:p>
          <w:p w:rsidR="00FF1A81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</w:pPr>
            <w:proofErr w:type="spellStart"/>
            <w:r>
              <w:t>Díísónónýlþalat</w:t>
            </w:r>
            <w:proofErr w:type="spellEnd"/>
            <w:r>
              <w:t xml:space="preserve"> (DINP, CAS nr. 28553-12-0/68515-48-0)</w:t>
            </w:r>
          </w:p>
          <w:p w:rsidR="00FF1A81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</w:pPr>
            <w:proofErr w:type="spellStart"/>
            <w:r>
              <w:t>Díísódekýlþalat</w:t>
            </w:r>
            <w:proofErr w:type="spellEnd"/>
            <w:r>
              <w:t xml:space="preserve"> (DIDP, CAS nr.26761-40-0/68515-49-1)</w:t>
            </w:r>
          </w:p>
          <w:p w:rsidR="00FF1A81" w:rsidRDefault="00FF1A81" w:rsidP="001F11E9">
            <w:pPr>
              <w:pStyle w:val="ListParagraph"/>
              <w:numPr>
                <w:ilvl w:val="0"/>
                <w:numId w:val="9"/>
              </w:numPr>
              <w:spacing w:after="200"/>
            </w:pPr>
            <w:proofErr w:type="spellStart"/>
            <w:r>
              <w:t>Dí</w:t>
            </w:r>
            <w:proofErr w:type="spellEnd"/>
            <w:r>
              <w:t>-n-</w:t>
            </w:r>
            <w:proofErr w:type="spellStart"/>
            <w:r>
              <w:t>oktýlþalat</w:t>
            </w:r>
            <w:proofErr w:type="spellEnd"/>
            <w:r>
              <w:t xml:space="preserve"> </w:t>
            </w:r>
            <w:r w:rsidRPr="00DF16F2">
              <w:rPr>
                <w:sz w:val="22"/>
              </w:rPr>
              <w:t>(DNOP, CAS</w:t>
            </w:r>
            <w:r w:rsidRPr="00DF16F2">
              <w:t xml:space="preserve"> </w:t>
            </w:r>
            <w:r w:rsidRPr="00DF16F2">
              <w:rPr>
                <w:sz w:val="22"/>
              </w:rPr>
              <w:t>nr.117-84-0)</w:t>
            </w:r>
          </w:p>
          <w:p w:rsidR="00FF1A81" w:rsidRDefault="008C351B" w:rsidP="00FF1A81">
            <w:pPr>
              <w:spacing w:after="200"/>
            </w:pPr>
            <w:r>
              <w:lastRenderedPageBreak/>
              <w:t>Með einsleitum efnum er</w:t>
            </w:r>
            <w:r w:rsidRPr="0093108E">
              <w:t xml:space="preserve"> átt við einstök efni sem hafa sömu efnasamsetningu</w:t>
            </w:r>
            <w:r>
              <w:t>,</w:t>
            </w:r>
            <w:r w:rsidRPr="0093108E">
              <w:t xml:space="preserve"> eða </w:t>
            </w:r>
            <w:r>
              <w:t xml:space="preserve">samsett </w:t>
            </w:r>
            <w:r w:rsidRPr="0093108E">
              <w:t>efni úr mismunandi efnasamsamböndum</w:t>
            </w:r>
            <w:r>
              <w:t>,</w:t>
            </w:r>
            <w:r w:rsidRPr="0093108E">
              <w:t xml:space="preserve"> en er ekki hægt aðskilja í mismunandi efni með vélrænum aðgerðum </w:t>
            </w:r>
            <w:r>
              <w:t xml:space="preserve">svo sem að </w:t>
            </w:r>
            <w:r w:rsidRPr="0093108E">
              <w:t>skrúfa, skera, mala eða slípa</w:t>
            </w:r>
            <w:r>
              <w:t xml:space="preserve"> (samkvæmt skilgreiningu </w:t>
            </w:r>
            <w:proofErr w:type="spellStart"/>
            <w:r>
              <w:t>RoHS</w:t>
            </w:r>
            <w:proofErr w:type="spellEnd"/>
            <w:r>
              <w:t xml:space="preserve"> 2011/65/EU</w:t>
            </w:r>
            <w:r w:rsidRPr="0071522A">
              <w:t>).</w:t>
            </w:r>
          </w:p>
          <w:p w:rsidR="00FF1A81" w:rsidRPr="008C351B" w:rsidRDefault="00FF1A81" w:rsidP="008C351B">
            <w:pPr>
              <w:spacing w:after="200"/>
              <w:rPr>
                <w:b/>
              </w:rPr>
            </w:pPr>
            <w:r w:rsidRPr="008C351B">
              <w:rPr>
                <w:b/>
              </w:rPr>
              <w:t>Staðfesting</w:t>
            </w:r>
            <w:r>
              <w:t xml:space="preserve">: </w:t>
            </w:r>
            <w:r w:rsidR="008C351B">
              <w:t>Yfirlýsing</w:t>
            </w:r>
            <w:r>
              <w:t xml:space="preserve"> frá birgja.</w:t>
            </w:r>
          </w:p>
        </w:tc>
      </w:tr>
      <w:tr w:rsidR="006F38A1" w:rsidTr="00EF4A23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1" w:rsidRDefault="006F38A1" w:rsidP="00D738CA">
            <w:pPr>
              <w:rPr>
                <w:b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1" w:rsidRPr="0070445C" w:rsidRDefault="00FF1A81" w:rsidP="0070445C">
            <w:pPr>
              <w:pStyle w:val="ListParagraph"/>
              <w:numPr>
                <w:ilvl w:val="0"/>
                <w:numId w:val="16"/>
              </w:numPr>
              <w:spacing w:after="200"/>
              <w:rPr>
                <w:b/>
              </w:rPr>
            </w:pPr>
            <w:proofErr w:type="spellStart"/>
            <w:r w:rsidRPr="0070445C">
              <w:rPr>
                <w:b/>
              </w:rPr>
              <w:t>Antimontríoxíð</w:t>
            </w:r>
            <w:proofErr w:type="spellEnd"/>
            <w:r w:rsidR="0078123B" w:rsidRPr="0070445C">
              <w:rPr>
                <w:b/>
              </w:rPr>
              <w:t xml:space="preserve"> (e. </w:t>
            </w:r>
            <w:proofErr w:type="spellStart"/>
            <w:r w:rsidR="0078123B" w:rsidRPr="0070445C">
              <w:rPr>
                <w:b/>
              </w:rPr>
              <w:t>Antimony</w:t>
            </w:r>
            <w:proofErr w:type="spellEnd"/>
            <w:r w:rsidR="0078123B" w:rsidRPr="0070445C">
              <w:rPr>
                <w:b/>
              </w:rPr>
              <w:t xml:space="preserve"> </w:t>
            </w:r>
            <w:proofErr w:type="spellStart"/>
            <w:r w:rsidR="0078123B" w:rsidRPr="0070445C">
              <w:rPr>
                <w:b/>
              </w:rPr>
              <w:t>trioxide</w:t>
            </w:r>
            <w:proofErr w:type="spellEnd"/>
            <w:r w:rsidR="0078123B" w:rsidRPr="0070445C">
              <w:rPr>
                <w:b/>
              </w:rPr>
              <w:t>)</w:t>
            </w:r>
          </w:p>
          <w:p w:rsidR="00FF1A81" w:rsidRDefault="0078123B" w:rsidP="00FF1A81">
            <w:pPr>
              <w:spacing w:after="200"/>
            </w:pPr>
            <w:proofErr w:type="spellStart"/>
            <w:r w:rsidRPr="0078123B">
              <w:t>Antimontríoxíð</w:t>
            </w:r>
            <w:proofErr w:type="spellEnd"/>
            <w:r w:rsidRPr="0078123B">
              <w:t xml:space="preserve"> eldvarnarefni í einsleitum efnum</w:t>
            </w:r>
            <w:r w:rsidR="00FF1A81">
              <w:t xml:space="preserve"> </w:t>
            </w:r>
            <w:r w:rsidR="00C40CED">
              <w:t>farsíma</w:t>
            </w:r>
            <w:r w:rsidR="00FF1A81">
              <w:t xml:space="preserve"> sk</w:t>
            </w:r>
            <w:r>
              <w:t>al</w:t>
            </w:r>
            <w:r w:rsidR="00FF1A81">
              <w:t xml:space="preserve"> </w:t>
            </w:r>
            <w:r>
              <w:t xml:space="preserve">vera undir </w:t>
            </w:r>
            <w:r w:rsidR="00FF1A81">
              <w:t xml:space="preserve">0,1% </w:t>
            </w:r>
            <w:r>
              <w:t>miðað við þyngd</w:t>
            </w:r>
            <w:r w:rsidR="00FF1A81">
              <w:t>.</w:t>
            </w:r>
          </w:p>
          <w:p w:rsidR="008C351B" w:rsidRDefault="008C351B" w:rsidP="008C351B">
            <w:pPr>
              <w:spacing w:after="200"/>
            </w:pPr>
            <w:r>
              <w:t>Með einsleitum efnum er</w:t>
            </w:r>
            <w:r w:rsidRPr="0093108E">
              <w:t xml:space="preserve"> átt við einstök efni sem hafa sömu efnasamsetningu</w:t>
            </w:r>
            <w:r>
              <w:t>,</w:t>
            </w:r>
            <w:r w:rsidRPr="0093108E">
              <w:t xml:space="preserve"> eða </w:t>
            </w:r>
            <w:r>
              <w:t xml:space="preserve">samsett </w:t>
            </w:r>
            <w:r w:rsidRPr="0093108E">
              <w:t>efni úr mismunandi efnasamsamböndum</w:t>
            </w:r>
            <w:r>
              <w:t>,</w:t>
            </w:r>
            <w:r w:rsidRPr="0093108E">
              <w:t xml:space="preserve"> en er ekki hægt aðskilja í mismunandi efni með vélrænum aðgerðum </w:t>
            </w:r>
            <w:r>
              <w:t xml:space="preserve">svo sem að </w:t>
            </w:r>
            <w:r w:rsidRPr="0093108E">
              <w:t>skrúfa, skera, mala eða slípa</w:t>
            </w:r>
            <w:r>
              <w:t xml:space="preserve"> (samkvæmt skilgreiningu </w:t>
            </w:r>
            <w:proofErr w:type="spellStart"/>
            <w:r>
              <w:t>RoHS</w:t>
            </w:r>
            <w:proofErr w:type="spellEnd"/>
            <w:r>
              <w:t xml:space="preserve"> 2011/65/EU</w:t>
            </w:r>
            <w:r w:rsidRPr="0071522A">
              <w:t>).</w:t>
            </w:r>
          </w:p>
          <w:p w:rsidR="006F38A1" w:rsidRDefault="00FF1A81" w:rsidP="00FF1A81">
            <w:pPr>
              <w:rPr>
                <w:b/>
              </w:rPr>
            </w:pPr>
            <w:r w:rsidRPr="006C5B6B">
              <w:rPr>
                <w:b/>
              </w:rPr>
              <w:t>Staðfesting</w:t>
            </w:r>
            <w:r>
              <w:t xml:space="preserve">: </w:t>
            </w:r>
            <w:r w:rsidR="0075637E">
              <w:t xml:space="preserve">Yfirlýsing </w:t>
            </w:r>
            <w:r>
              <w:t>frá birgja.</w:t>
            </w:r>
          </w:p>
        </w:tc>
      </w:tr>
      <w:tr w:rsidR="006F38A1" w:rsidRPr="00F60506" w:rsidTr="00EF4A23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38A1" w:rsidRPr="00F60506" w:rsidRDefault="006F38A1" w:rsidP="00F6050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MATSVIÐMIÐ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38A1" w:rsidRPr="00F60506" w:rsidRDefault="006F38A1" w:rsidP="00F6050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MATSVIÐMIÐ</w:t>
            </w:r>
          </w:p>
        </w:tc>
      </w:tr>
      <w:tr w:rsidR="006F38A1" w:rsidTr="00EF4A23">
        <w:trPr>
          <w:trHeight w:val="1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1" w:rsidRPr="006C5B6B" w:rsidRDefault="00FF1A81" w:rsidP="001F11E9">
            <w:pPr>
              <w:pStyle w:val="ListParagraph"/>
              <w:numPr>
                <w:ilvl w:val="0"/>
                <w:numId w:val="4"/>
              </w:numPr>
              <w:spacing w:after="200"/>
              <w:rPr>
                <w:b/>
              </w:rPr>
            </w:pPr>
            <w:proofErr w:type="spellStart"/>
            <w:r>
              <w:rPr>
                <w:b/>
              </w:rPr>
              <w:t>Bisfenól</w:t>
            </w:r>
            <w:proofErr w:type="spellEnd"/>
            <w:r>
              <w:rPr>
                <w:b/>
              </w:rPr>
              <w:t xml:space="preserve"> A</w:t>
            </w:r>
          </w:p>
          <w:p w:rsidR="00FF1A81" w:rsidRDefault="00FF1A81" w:rsidP="00FF1A81">
            <w:r>
              <w:t xml:space="preserve">Efnaleifar </w:t>
            </w:r>
            <w:proofErr w:type="spellStart"/>
            <w:r>
              <w:t>bisfenól</w:t>
            </w:r>
            <w:proofErr w:type="spellEnd"/>
            <w:r>
              <w:t xml:space="preserve"> A (CAS nr.80-05-7) í </w:t>
            </w:r>
            <w:proofErr w:type="spellStart"/>
            <w:r>
              <w:t>pólýkarbónat</w:t>
            </w:r>
            <w:r w:rsidR="00364301">
              <w:t>i</w:t>
            </w:r>
            <w:proofErr w:type="spellEnd"/>
            <w:r w:rsidR="00364301">
              <w:t xml:space="preserve"> skulu</w:t>
            </w:r>
            <w:r>
              <w:t xml:space="preserve"> vera </w:t>
            </w:r>
            <w:r w:rsidR="0078123B">
              <w:t>undir</w:t>
            </w:r>
            <w:r>
              <w:t xml:space="preserve"> 0,005% miða</w:t>
            </w:r>
            <w:r w:rsidR="0078123B">
              <w:t>ð</w:t>
            </w:r>
            <w:r>
              <w:t xml:space="preserve"> við </w:t>
            </w:r>
            <w:r w:rsidR="00364301">
              <w:t>þyngd</w:t>
            </w:r>
            <w:r>
              <w:t xml:space="preserve"> (50 mg/kg).</w:t>
            </w:r>
          </w:p>
          <w:p w:rsidR="006F38A1" w:rsidRPr="00692E9E" w:rsidRDefault="00FF1A81" w:rsidP="00FF1A81">
            <w:pPr>
              <w:shd w:val="clear" w:color="auto" w:fill="FFFFFF"/>
              <w:spacing w:after="0" w:line="255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is-IS"/>
              </w:rPr>
            </w:pPr>
            <w:r w:rsidRPr="006C5B6B">
              <w:rPr>
                <w:b/>
              </w:rPr>
              <w:t>Staðfesting</w:t>
            </w:r>
            <w:r>
              <w:t xml:space="preserve">: </w:t>
            </w:r>
            <w:r w:rsidR="0075637E">
              <w:t xml:space="preserve">Yfirlýsing </w:t>
            </w:r>
            <w:r>
              <w:t>frá birgja.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1" w:rsidRPr="006C5B6B" w:rsidRDefault="00FF1A81" w:rsidP="001F11E9">
            <w:pPr>
              <w:pStyle w:val="ListParagraph"/>
              <w:numPr>
                <w:ilvl w:val="0"/>
                <w:numId w:val="13"/>
              </w:numPr>
              <w:spacing w:after="200"/>
              <w:rPr>
                <w:b/>
              </w:rPr>
            </w:pPr>
            <w:proofErr w:type="spellStart"/>
            <w:r>
              <w:rPr>
                <w:b/>
              </w:rPr>
              <w:t>Bisfenól</w:t>
            </w:r>
            <w:proofErr w:type="spellEnd"/>
            <w:r>
              <w:rPr>
                <w:b/>
              </w:rPr>
              <w:t xml:space="preserve"> A</w:t>
            </w:r>
          </w:p>
          <w:p w:rsidR="00FF1A81" w:rsidRDefault="00FF1A81" w:rsidP="00FF1A81">
            <w:r>
              <w:t xml:space="preserve">Efnaleifar </w:t>
            </w:r>
            <w:proofErr w:type="spellStart"/>
            <w:r>
              <w:t>bisfenól</w:t>
            </w:r>
            <w:proofErr w:type="spellEnd"/>
            <w:r>
              <w:t xml:space="preserve"> A (CAS nr.80-05-7) í </w:t>
            </w:r>
            <w:proofErr w:type="spellStart"/>
            <w:r>
              <w:t>pólýkarbónat</w:t>
            </w:r>
            <w:r w:rsidR="00364301">
              <w:t>i</w:t>
            </w:r>
            <w:proofErr w:type="spellEnd"/>
            <w:r>
              <w:t xml:space="preserve"> sk</w:t>
            </w:r>
            <w:r w:rsidR="00364301">
              <w:t>ulu</w:t>
            </w:r>
            <w:r>
              <w:t xml:space="preserve"> vera </w:t>
            </w:r>
            <w:r w:rsidR="0078123B">
              <w:t>undir</w:t>
            </w:r>
            <w:r>
              <w:t xml:space="preserve"> 0,005% miða</w:t>
            </w:r>
            <w:r w:rsidR="0078123B">
              <w:t>ð</w:t>
            </w:r>
            <w:r>
              <w:t xml:space="preserve"> við </w:t>
            </w:r>
            <w:r w:rsidR="00364301">
              <w:t>þyngd</w:t>
            </w:r>
            <w:r>
              <w:t xml:space="preserve"> (50 mg/kg).</w:t>
            </w:r>
          </w:p>
          <w:p w:rsidR="006F38A1" w:rsidRDefault="00FF1A81" w:rsidP="00FF1A81">
            <w:pPr>
              <w:shd w:val="clear" w:color="auto" w:fill="FFFFFF"/>
              <w:spacing w:after="0" w:line="255" w:lineRule="atLeast"/>
            </w:pPr>
            <w:r w:rsidRPr="006C5B6B">
              <w:rPr>
                <w:b/>
              </w:rPr>
              <w:t>Staðfesting</w:t>
            </w:r>
            <w:r>
              <w:t xml:space="preserve">: </w:t>
            </w:r>
            <w:r w:rsidR="0075637E">
              <w:t xml:space="preserve">Yfirlýsing </w:t>
            </w:r>
            <w:r>
              <w:t>frá birgja.</w:t>
            </w:r>
          </w:p>
        </w:tc>
      </w:tr>
      <w:tr w:rsidR="006F38A1" w:rsidTr="00EF4A23">
        <w:trPr>
          <w:trHeight w:val="1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A1" w:rsidRPr="0065599B" w:rsidRDefault="006F38A1" w:rsidP="00D738CA">
            <w:pPr>
              <w:spacing w:after="200"/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1" w:rsidRPr="006C5B6B" w:rsidRDefault="00FF1A81" w:rsidP="001F11E9">
            <w:pPr>
              <w:pStyle w:val="ListParagraph"/>
              <w:numPr>
                <w:ilvl w:val="0"/>
                <w:numId w:val="13"/>
              </w:numPr>
              <w:spacing w:after="200"/>
              <w:rPr>
                <w:b/>
              </w:rPr>
            </w:pPr>
            <w:r>
              <w:rPr>
                <w:b/>
              </w:rPr>
              <w:t>Beryllíum</w:t>
            </w:r>
          </w:p>
          <w:p w:rsidR="00FF1A81" w:rsidRDefault="006069C3" w:rsidP="00FF1A81">
            <w:pPr>
              <w:spacing w:after="200"/>
            </w:pPr>
            <w:r w:rsidRPr="006069C3">
              <w:t>Efnasambönd b</w:t>
            </w:r>
            <w:r w:rsidR="003F68FB" w:rsidRPr="006069C3">
              <w:t>eryllíum sk</w:t>
            </w:r>
            <w:r w:rsidRPr="006069C3">
              <w:t>ulu</w:t>
            </w:r>
            <w:r w:rsidR="003F68FB" w:rsidRPr="006069C3">
              <w:t xml:space="preserve"> vera undir 0,1% af þyngd</w:t>
            </w:r>
            <w:r w:rsidRPr="006069C3">
              <w:t xml:space="preserve"> í einsleitum efnum</w:t>
            </w:r>
            <w:r w:rsidR="00FF1A81" w:rsidRPr="006069C3">
              <w:t xml:space="preserve"> </w:t>
            </w:r>
            <w:r w:rsidR="00C40CED">
              <w:t>farsíma</w:t>
            </w:r>
            <w:r w:rsidR="00FF1A81">
              <w:t>.</w:t>
            </w:r>
          </w:p>
          <w:p w:rsidR="006F38A1" w:rsidRPr="004D238F" w:rsidRDefault="00FF1A81" w:rsidP="00FF1A81">
            <w:pPr>
              <w:spacing w:after="200"/>
            </w:pPr>
            <w:r w:rsidRPr="001135B4">
              <w:rPr>
                <w:b/>
              </w:rPr>
              <w:t>Staðfesting</w:t>
            </w:r>
            <w:r>
              <w:t>:  Vottun samkvæmt umhverfismerkinu Blái engillinn (</w:t>
            </w:r>
            <w:proofErr w:type="spellStart"/>
            <w:r>
              <w:t>Blaue</w:t>
            </w:r>
            <w:proofErr w:type="spellEnd"/>
            <w:r>
              <w:t xml:space="preserve"> </w:t>
            </w:r>
            <w:proofErr w:type="spellStart"/>
            <w:r>
              <w:t>Engel</w:t>
            </w:r>
            <w:proofErr w:type="spellEnd"/>
            <w:r>
              <w:t xml:space="preserve">). </w:t>
            </w:r>
            <w:r w:rsidR="0075637E" w:rsidRPr="0075637E">
              <w:t xml:space="preserve">Yfirlýsing </w:t>
            </w:r>
            <w:r w:rsidRPr="0075637E">
              <w:t>frá birgja</w:t>
            </w:r>
            <w:r>
              <w:t>.</w:t>
            </w:r>
          </w:p>
        </w:tc>
      </w:tr>
      <w:tr w:rsidR="00FF1A81" w:rsidTr="00EF4A23">
        <w:trPr>
          <w:trHeight w:val="142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1" w:rsidRPr="0065599B" w:rsidRDefault="00FF1A81" w:rsidP="00D738CA">
            <w:pPr>
              <w:spacing w:after="200"/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81" w:rsidRDefault="00FF1A81" w:rsidP="001F11E9">
            <w:pPr>
              <w:pStyle w:val="ListParagraph"/>
              <w:numPr>
                <w:ilvl w:val="0"/>
                <w:numId w:val="13"/>
              </w:numPr>
              <w:spacing w:after="200"/>
              <w:rPr>
                <w:b/>
              </w:rPr>
            </w:pPr>
            <w:r>
              <w:rPr>
                <w:b/>
              </w:rPr>
              <w:t>Endurunnið plastefni</w:t>
            </w:r>
          </w:p>
          <w:p w:rsidR="00FF1A81" w:rsidRDefault="00FF1A81" w:rsidP="00FF1A81">
            <w:pPr>
              <w:spacing w:after="200"/>
            </w:pPr>
            <w:r>
              <w:t>Plastefni í vöru skal vera endurunnið.</w:t>
            </w:r>
          </w:p>
          <w:p w:rsidR="00FF1A81" w:rsidRDefault="00FF1A81" w:rsidP="00FF1A81">
            <w:pPr>
              <w:spacing w:after="200"/>
            </w:pPr>
            <w:r>
              <w:t xml:space="preserve">Gefa skal upp </w:t>
            </w:r>
            <w:r w:rsidR="00C40CED">
              <w:t>þyngdar</w:t>
            </w:r>
            <w:r>
              <w:t>hlutfall endurunn</w:t>
            </w:r>
            <w:r w:rsidR="00C40CED">
              <w:t>ins</w:t>
            </w:r>
            <w:r>
              <w:t xml:space="preserve"> plast</w:t>
            </w:r>
            <w:r w:rsidR="00C40CED">
              <w:t xml:space="preserve">s af </w:t>
            </w:r>
            <w:r>
              <w:t>heildar</w:t>
            </w:r>
            <w:r w:rsidR="00C40CED">
              <w:t>þyngd</w:t>
            </w:r>
            <w:r>
              <w:t xml:space="preserve"> plast</w:t>
            </w:r>
            <w:r w:rsidR="00C40CED">
              <w:t>hluta</w:t>
            </w:r>
            <w:r>
              <w:t xml:space="preserve"> í </w:t>
            </w:r>
            <w:r w:rsidR="00C40CED">
              <w:t>farsíma</w:t>
            </w:r>
            <w:r>
              <w:t xml:space="preserve">. Plasthlutir eru </w:t>
            </w:r>
            <w:r w:rsidR="0021242B">
              <w:t>íhlutir</w:t>
            </w:r>
            <w:r w:rsidR="00C40CED">
              <w:t xml:space="preserve"> sem að mestu leyti eru úr plasti</w:t>
            </w:r>
            <w:r>
              <w:t xml:space="preserve">, t.d. hulstur. </w:t>
            </w:r>
            <w:r w:rsidR="00F31D1A">
              <w:t xml:space="preserve">Undanskildir </w:t>
            </w:r>
            <w:r w:rsidR="0021242B">
              <w:t>eru íh</w:t>
            </w:r>
            <w:r>
              <w:t xml:space="preserve">lutir </w:t>
            </w:r>
            <w:r>
              <w:lastRenderedPageBreak/>
              <w:t>sem innihalda hátt hlutfall af öðrum efnum t.d. kaplar með málm</w:t>
            </w:r>
            <w:r w:rsidR="0021242B">
              <w:t>leiðslum</w:t>
            </w:r>
            <w:r>
              <w:t xml:space="preserve">. Endurunnið plast er </w:t>
            </w:r>
            <w:r w:rsidR="0021242B">
              <w:t xml:space="preserve">það </w:t>
            </w:r>
            <w:r>
              <w:t>plast sem hefur verið endurunnið e</w:t>
            </w:r>
            <w:r w:rsidR="0021242B">
              <w:t>ftir notkun samkvæmd ISO14063</w:t>
            </w:r>
            <w:r>
              <w:t xml:space="preserve">, 14025 – ICC re.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„</w:t>
            </w:r>
            <w:proofErr w:type="spellStart"/>
            <w:r>
              <w:t>post</w:t>
            </w:r>
            <w:proofErr w:type="spellEnd"/>
            <w:r>
              <w:t xml:space="preserve"> </w:t>
            </w:r>
            <w:proofErr w:type="spellStart"/>
            <w:r>
              <w:t>consumer</w:t>
            </w:r>
            <w:proofErr w:type="spellEnd"/>
            <w:r>
              <w:t>“.</w:t>
            </w:r>
          </w:p>
          <w:p w:rsidR="00920E19" w:rsidRDefault="00920E19" w:rsidP="00920E19">
            <w:pPr>
              <w:spacing w:after="200"/>
            </w:pPr>
            <w:r>
              <w:t>Tillögur að matsaðferð.  Séu t.d. 10 stig samtals í boð fyrir vistvæna þ</w:t>
            </w:r>
            <w:r w:rsidR="00C03614">
              <w:t>æ</w:t>
            </w:r>
            <w:r>
              <w:t>tti gæti stigagjö</w:t>
            </w:r>
            <w:r w:rsidR="00C03614">
              <w:t>f</w:t>
            </w:r>
            <w:r>
              <w:t xml:space="preserve"> verið sem hér segir:</w:t>
            </w:r>
          </w:p>
          <w:p w:rsidR="00920E19" w:rsidRDefault="00920E19" w:rsidP="00920E19">
            <w:pPr>
              <w:pStyle w:val="ListParagraph"/>
              <w:numPr>
                <w:ilvl w:val="0"/>
                <w:numId w:val="19"/>
              </w:numPr>
              <w:spacing w:after="200"/>
            </w:pPr>
            <w:r>
              <w:rPr>
                <w:rFonts w:cs="Times New Roman"/>
              </w:rPr>
              <w:t>≥</w:t>
            </w:r>
            <w:r>
              <w:t>10% gefur 1 stig</w:t>
            </w:r>
          </w:p>
          <w:p w:rsidR="00920E19" w:rsidRDefault="00920E19" w:rsidP="00920E19">
            <w:pPr>
              <w:pStyle w:val="ListParagraph"/>
              <w:numPr>
                <w:ilvl w:val="0"/>
                <w:numId w:val="19"/>
              </w:numPr>
              <w:spacing w:after="200"/>
            </w:pPr>
            <w:r>
              <w:rPr>
                <w:rFonts w:cs="Times New Roman"/>
              </w:rPr>
              <w:t>≥</w:t>
            </w:r>
            <w:r>
              <w:t>40% gefur 5 stig</w:t>
            </w:r>
          </w:p>
          <w:p w:rsidR="00920E19" w:rsidRDefault="00920E19" w:rsidP="00920E19">
            <w:pPr>
              <w:pStyle w:val="ListParagraph"/>
              <w:numPr>
                <w:ilvl w:val="0"/>
                <w:numId w:val="19"/>
              </w:numPr>
              <w:spacing w:after="200"/>
            </w:pPr>
            <w:r>
              <w:rPr>
                <w:rFonts w:cs="Times New Roman"/>
              </w:rPr>
              <w:t>≥</w:t>
            </w:r>
            <w:r>
              <w:t>80% gefur 10 stig</w:t>
            </w:r>
          </w:p>
          <w:p w:rsidR="00FF1A81" w:rsidRPr="00FF1A81" w:rsidRDefault="00FF1A81" w:rsidP="00FF1A81">
            <w:pPr>
              <w:spacing w:after="200"/>
            </w:pPr>
            <w:r>
              <w:t>Einnig mætti meta fjölda boðinna farsíma með endurunnu plasti, óháð því hversu hátt hlutfall endurunnins plasts er í hverjum síma.</w:t>
            </w:r>
          </w:p>
        </w:tc>
      </w:tr>
      <w:tr w:rsidR="006F38A1" w:rsidTr="00EF4A23">
        <w:trPr>
          <w:trHeight w:val="437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38A1" w:rsidRDefault="006F38A1" w:rsidP="00F60506">
            <w:pPr>
              <w:spacing w:before="24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b/>
              </w:rPr>
              <w:lastRenderedPageBreak/>
              <w:t>HÆFI BJÓÐENDA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38A1" w:rsidRDefault="006F38A1" w:rsidP="00F60506">
            <w:pPr>
              <w:spacing w:before="24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b/>
              </w:rPr>
              <w:t>HÆFI BJÓÐENDA</w:t>
            </w:r>
          </w:p>
        </w:tc>
      </w:tr>
      <w:tr w:rsidR="006F38A1" w:rsidTr="00EF4A23">
        <w:trPr>
          <w:trHeight w:val="42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8A1" w:rsidRPr="006C5B6B" w:rsidRDefault="00FD4C48" w:rsidP="001F11E9">
            <w:pPr>
              <w:pStyle w:val="ListParagraph"/>
              <w:numPr>
                <w:ilvl w:val="0"/>
                <w:numId w:val="5"/>
              </w:numPr>
              <w:spacing w:after="200"/>
              <w:rPr>
                <w:b/>
              </w:rPr>
            </w:pPr>
            <w:r>
              <w:rPr>
                <w:b/>
              </w:rPr>
              <w:t>Skipulagt u</w:t>
            </w:r>
            <w:r w:rsidR="006F38A1">
              <w:rPr>
                <w:b/>
              </w:rPr>
              <w:t xml:space="preserve">mhverfisstarf </w:t>
            </w:r>
            <w:r w:rsidR="001A0053">
              <w:rPr>
                <w:b/>
              </w:rPr>
              <w:t>bjóðanda</w:t>
            </w:r>
            <w:r w:rsidR="006F38A1">
              <w:rPr>
                <w:b/>
              </w:rPr>
              <w:t xml:space="preserve"> (</w:t>
            </w:r>
            <w:r>
              <w:rPr>
                <w:b/>
              </w:rPr>
              <w:t xml:space="preserve">á </w:t>
            </w:r>
            <w:r w:rsidR="006F38A1">
              <w:rPr>
                <w:b/>
              </w:rPr>
              <w:t>við kaup á þjónustu)</w:t>
            </w:r>
          </w:p>
          <w:p w:rsidR="006F38A1" w:rsidRDefault="00B21603" w:rsidP="00B21603">
            <w:r w:rsidRPr="00B21603">
              <w:t>Bjóðandi skal veita þjónustu með skjalfestri umhverfisstjórnu</w:t>
            </w:r>
            <w:r>
              <w:t>n sem nær að lágmarki utan um eftirfarandi þætti:</w:t>
            </w:r>
          </w:p>
          <w:p w:rsidR="006F38A1" w:rsidRDefault="00B21603" w:rsidP="001F11E9">
            <w:pPr>
              <w:pStyle w:val="ListParagraph"/>
              <w:numPr>
                <w:ilvl w:val="0"/>
                <w:numId w:val="8"/>
              </w:numPr>
              <w:tabs>
                <w:tab w:val="left" w:pos="1426"/>
              </w:tabs>
            </w:pPr>
            <w:r>
              <w:t>V</w:t>
            </w:r>
            <w:r w:rsidR="001A0053">
              <w:t>erklag sem t</w:t>
            </w:r>
            <w:r w:rsidR="006F38A1">
              <w:t>rygg</w:t>
            </w:r>
            <w:r w:rsidR="001A0053">
              <w:t xml:space="preserve">ir </w:t>
            </w:r>
            <w:r w:rsidR="006F38A1">
              <w:t>að þjónusta sé í samræmi við umhverfisviðmið útboðsg</w:t>
            </w:r>
            <w:r w:rsidR="001A0053">
              <w:t>agna</w:t>
            </w:r>
            <w:r w:rsidR="006F38A1">
              <w:t>.</w:t>
            </w:r>
          </w:p>
          <w:p w:rsidR="006F38A1" w:rsidRDefault="00B21603" w:rsidP="001F11E9">
            <w:pPr>
              <w:pStyle w:val="ListParagraph"/>
              <w:numPr>
                <w:ilvl w:val="0"/>
                <w:numId w:val="8"/>
              </w:numPr>
              <w:tabs>
                <w:tab w:val="left" w:pos="1426"/>
              </w:tabs>
            </w:pPr>
            <w:r>
              <w:t>V</w:t>
            </w:r>
            <w:r w:rsidR="001A0053">
              <w:t>erklag sem tryggir</w:t>
            </w:r>
            <w:r w:rsidR="007A3068">
              <w:t xml:space="preserve"> að viðeigandi lög og reglugerðir á sviði umhverfismála</w:t>
            </w:r>
            <w:r w:rsidR="006F38A1">
              <w:t xml:space="preserve"> séu uppfyllt</w:t>
            </w:r>
            <w:r w:rsidR="007A3068">
              <w:t>.</w:t>
            </w:r>
          </w:p>
          <w:p w:rsidR="0021242B" w:rsidRPr="00331D97" w:rsidRDefault="00BC46AD" w:rsidP="001F11E9">
            <w:pPr>
              <w:pStyle w:val="ListParagraph"/>
              <w:numPr>
                <w:ilvl w:val="0"/>
                <w:numId w:val="8"/>
              </w:numPr>
              <w:tabs>
                <w:tab w:val="left" w:pos="1426"/>
              </w:tabs>
            </w:pPr>
            <w:r>
              <w:t>Sérstakan</w:t>
            </w:r>
            <w:r w:rsidR="00346FE5" w:rsidRPr="00331D97">
              <w:t xml:space="preserve"> </w:t>
            </w:r>
            <w:r w:rsidR="006F38A1" w:rsidRPr="00331D97">
              <w:t xml:space="preserve">tengilið </w:t>
            </w:r>
            <w:r w:rsidR="00346FE5" w:rsidRPr="00331D97">
              <w:t xml:space="preserve">umhverfismála </w:t>
            </w:r>
            <w:r w:rsidR="007A3068" w:rsidRPr="00331D97">
              <w:t>sem getur svarað</w:t>
            </w:r>
            <w:r w:rsidR="006F38A1" w:rsidRPr="00331D97">
              <w:t xml:space="preserve"> spurning</w:t>
            </w:r>
            <w:r w:rsidR="007A3068" w:rsidRPr="00331D97">
              <w:t>um</w:t>
            </w:r>
            <w:r w:rsidR="006F38A1" w:rsidRPr="00331D97">
              <w:t xml:space="preserve"> </w:t>
            </w:r>
            <w:r w:rsidR="007A3068" w:rsidRPr="00331D97">
              <w:t>sem</w:t>
            </w:r>
            <w:r w:rsidR="006F38A1" w:rsidRPr="00331D97">
              <w:t xml:space="preserve"> vakna hjá </w:t>
            </w:r>
            <w:r w:rsidR="007A3068" w:rsidRPr="00331D97">
              <w:t>innkaupaaðilum</w:t>
            </w:r>
            <w:r w:rsidR="0021242B" w:rsidRPr="00331D97">
              <w:t>.</w:t>
            </w:r>
          </w:p>
          <w:p w:rsidR="006F38A1" w:rsidRDefault="00B21603" w:rsidP="001F11E9">
            <w:pPr>
              <w:pStyle w:val="ListParagraph"/>
              <w:numPr>
                <w:ilvl w:val="0"/>
                <w:numId w:val="8"/>
              </w:numPr>
              <w:tabs>
                <w:tab w:val="left" w:pos="1426"/>
              </w:tabs>
            </w:pPr>
            <w:r>
              <w:t>V</w:t>
            </w:r>
            <w:r w:rsidR="00331D97">
              <w:t>erklag til að greina h</w:t>
            </w:r>
            <w:r w:rsidR="001A0053">
              <w:t>elstu</w:t>
            </w:r>
            <w:r w:rsidR="006F38A1">
              <w:t xml:space="preserve"> umhverfisþætti þjónustu</w:t>
            </w:r>
            <w:r w:rsidR="00331D97">
              <w:t>nnar</w:t>
            </w:r>
            <w:r w:rsidR="006F38A1">
              <w:t>.</w:t>
            </w:r>
          </w:p>
          <w:p w:rsidR="006F38A1" w:rsidRDefault="00B21603" w:rsidP="001F11E9">
            <w:pPr>
              <w:pStyle w:val="ListParagraph"/>
              <w:numPr>
                <w:ilvl w:val="0"/>
                <w:numId w:val="8"/>
              </w:numPr>
              <w:tabs>
                <w:tab w:val="left" w:pos="1426"/>
              </w:tabs>
            </w:pPr>
            <w:r>
              <w:t>U</w:t>
            </w:r>
            <w:r w:rsidR="006F38A1">
              <w:t>mhverfisstefn</w:t>
            </w:r>
            <w:r w:rsidR="000318CF">
              <w:t>u</w:t>
            </w:r>
            <w:r w:rsidR="006F38A1">
              <w:t xml:space="preserve"> fyrirtæki</w:t>
            </w:r>
            <w:r w:rsidR="007A3068">
              <w:t>sins</w:t>
            </w:r>
            <w:r w:rsidR="006F38A1">
              <w:t xml:space="preserve"> (</w:t>
            </w:r>
            <w:r w:rsidR="007A3068">
              <w:t>viðhengi með samningi</w:t>
            </w:r>
            <w:r w:rsidR="006F38A1">
              <w:t>).</w:t>
            </w:r>
          </w:p>
          <w:p w:rsidR="006F38A1" w:rsidRDefault="00B21603" w:rsidP="001F11E9">
            <w:pPr>
              <w:pStyle w:val="ListParagraph"/>
              <w:numPr>
                <w:ilvl w:val="0"/>
                <w:numId w:val="8"/>
              </w:numPr>
              <w:tabs>
                <w:tab w:val="left" w:pos="1426"/>
              </w:tabs>
            </w:pPr>
            <w:r>
              <w:t>V</w:t>
            </w:r>
            <w:r w:rsidR="00331D97">
              <w:t xml:space="preserve">erklag sem tryggir reglulega </w:t>
            </w:r>
            <w:r w:rsidR="006F38A1">
              <w:t xml:space="preserve">þjálfun starfsmanna í umhverfismálum </w:t>
            </w:r>
            <w:r w:rsidR="00331D97">
              <w:t xml:space="preserve">vegna </w:t>
            </w:r>
            <w:r w:rsidR="006F38A1">
              <w:t>þjónustu</w:t>
            </w:r>
            <w:r w:rsidR="00331D97">
              <w:t>nnar</w:t>
            </w:r>
            <w:r w:rsidR="006F38A1">
              <w:t>.</w:t>
            </w:r>
          </w:p>
          <w:p w:rsidR="006F38A1" w:rsidRPr="000318CF" w:rsidRDefault="000318CF" w:rsidP="001F11E9">
            <w:pPr>
              <w:pStyle w:val="ListParagraph"/>
              <w:numPr>
                <w:ilvl w:val="0"/>
                <w:numId w:val="8"/>
              </w:numPr>
              <w:tabs>
                <w:tab w:val="left" w:pos="1426"/>
              </w:tabs>
            </w:pPr>
            <w:r w:rsidRPr="000318CF">
              <w:t>Tryggir nauðsynlegar a</w:t>
            </w:r>
            <w:r w:rsidR="00331D97" w:rsidRPr="000318CF">
              <w:t>uðlindir og skýr</w:t>
            </w:r>
            <w:r w:rsidRPr="000318CF">
              <w:t>a</w:t>
            </w:r>
            <w:r w:rsidR="00331D97" w:rsidRPr="000318CF">
              <w:t xml:space="preserve"> ábyrgðar</w:t>
            </w:r>
            <w:r w:rsidRPr="000318CF">
              <w:t>skiptingu</w:t>
            </w:r>
            <w:r w:rsidR="00331D97" w:rsidRPr="000318CF">
              <w:t xml:space="preserve"> innan fyrirtækisins </w:t>
            </w:r>
            <w:r w:rsidRPr="000318CF">
              <w:t xml:space="preserve">vegna </w:t>
            </w:r>
            <w:r w:rsidR="00331D97" w:rsidRPr="000318CF">
              <w:t>umhverfisstarf</w:t>
            </w:r>
            <w:r w:rsidRPr="000318CF">
              <w:t>sins</w:t>
            </w:r>
            <w:r w:rsidR="006F38A1" w:rsidRPr="000318CF">
              <w:t>.</w:t>
            </w:r>
          </w:p>
          <w:p w:rsidR="006F38A1" w:rsidRDefault="006F38A1" w:rsidP="006F38A1">
            <w:pPr>
              <w:pStyle w:val="ListParagraph"/>
              <w:tabs>
                <w:tab w:val="left" w:pos="1426"/>
              </w:tabs>
            </w:pPr>
          </w:p>
          <w:p w:rsidR="006F38A1" w:rsidRDefault="006F38A1" w:rsidP="006F38A1">
            <w:pPr>
              <w:tabs>
                <w:tab w:val="left" w:pos="1426"/>
              </w:tabs>
            </w:pPr>
            <w:r w:rsidRPr="009D4C42">
              <w:rPr>
                <w:b/>
              </w:rPr>
              <w:t>Staðfesting</w:t>
            </w:r>
            <w:r>
              <w:t xml:space="preserve">: Fyrir 1. </w:t>
            </w:r>
            <w:r w:rsidR="000318CF">
              <w:t>l</w:t>
            </w:r>
            <w:r>
              <w:t xml:space="preserve">ið: </w:t>
            </w:r>
            <w:r w:rsidR="000318CF">
              <w:t>skrifleg</w:t>
            </w:r>
            <w:r w:rsidR="00B21603">
              <w:t>t verklag</w:t>
            </w:r>
            <w:r w:rsidR="00F31D1A">
              <w:t xml:space="preserve"> </w:t>
            </w:r>
            <w:r w:rsidR="000318CF">
              <w:t xml:space="preserve">sem tryggir </w:t>
            </w:r>
            <w:r>
              <w:t xml:space="preserve">að þjónusta sé í samræmi við </w:t>
            </w:r>
            <w:r>
              <w:lastRenderedPageBreak/>
              <w:t>umhverfisskilyrði í útboðsgögnum (</w:t>
            </w:r>
            <w:r w:rsidR="000318CF">
              <w:t>ásamt</w:t>
            </w:r>
            <w:r>
              <w:t xml:space="preserve"> dagssetningu og ábyrg</w:t>
            </w:r>
            <w:r w:rsidR="000318CF">
              <w:t>ðarmanni verklags</w:t>
            </w:r>
            <w:r>
              <w:t xml:space="preserve">) eða vottað umhverfisstjórnunarkerfi </w:t>
            </w:r>
            <w:r w:rsidR="000318CF">
              <w:t xml:space="preserve">ef það nær til </w:t>
            </w:r>
            <w:r>
              <w:t>þjónustunnar (vottunarnúmer).</w:t>
            </w:r>
          </w:p>
          <w:p w:rsidR="006F38A1" w:rsidRDefault="006F38A1" w:rsidP="000318CF">
            <w:pPr>
              <w:tabs>
                <w:tab w:val="left" w:pos="1426"/>
              </w:tabs>
            </w:pPr>
            <w:r>
              <w:t xml:space="preserve">Fyrir 2.-7. </w:t>
            </w:r>
            <w:r w:rsidR="000318CF">
              <w:t>l</w:t>
            </w:r>
            <w:r>
              <w:t>ið: Vottað umhverfisstjórnunarkerfi sam</w:t>
            </w:r>
            <w:r w:rsidR="000318CF">
              <w:t>kvæmt</w:t>
            </w:r>
            <w:r>
              <w:t xml:space="preserve"> EMAS eða ISO 14001, sem ná til liða 2-7 (númer vottunar) eða gögn </w:t>
            </w:r>
            <w:r w:rsidR="000318CF">
              <w:t>annar</w:t>
            </w:r>
            <w:r w:rsidR="009D1DDA">
              <w:t>r</w:t>
            </w:r>
            <w:r w:rsidR="000318CF">
              <w:t xml:space="preserve">a </w:t>
            </w:r>
            <w:r>
              <w:t>umhverfisstjórnunarkerf</w:t>
            </w:r>
            <w:r w:rsidR="000318CF">
              <w:t xml:space="preserve">a sem ná utan um </w:t>
            </w:r>
            <w:r>
              <w:t>lið</w:t>
            </w:r>
            <w:r w:rsidR="000318CF">
              <w:t>i</w:t>
            </w:r>
            <w:r>
              <w:t xml:space="preserve"> 2-7.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45C" w:rsidRPr="006C5B6B" w:rsidRDefault="0070445C" w:rsidP="0070445C">
            <w:pPr>
              <w:pStyle w:val="ListParagraph"/>
              <w:numPr>
                <w:ilvl w:val="0"/>
                <w:numId w:val="5"/>
              </w:numPr>
              <w:spacing w:after="200"/>
              <w:rPr>
                <w:b/>
              </w:rPr>
            </w:pPr>
            <w:r>
              <w:rPr>
                <w:b/>
              </w:rPr>
              <w:lastRenderedPageBreak/>
              <w:t>Skipulagt umhverfisstarf bjóðanda (á við kaup á þjónustu)</w:t>
            </w:r>
          </w:p>
          <w:p w:rsidR="0070445C" w:rsidRDefault="0070445C" w:rsidP="0070445C">
            <w:r w:rsidRPr="00B21603">
              <w:t>Bjóðandi skal veita þjónustu með skjalfestri umhverfisstjórnu</w:t>
            </w:r>
            <w:r>
              <w:t>n sem nær að lágmarki utan um eftirfarandi þætti:</w:t>
            </w:r>
          </w:p>
          <w:p w:rsidR="0070445C" w:rsidRDefault="0070445C" w:rsidP="0070445C">
            <w:pPr>
              <w:pStyle w:val="ListParagraph"/>
              <w:numPr>
                <w:ilvl w:val="0"/>
                <w:numId w:val="18"/>
              </w:numPr>
              <w:tabs>
                <w:tab w:val="left" w:pos="1426"/>
              </w:tabs>
            </w:pPr>
            <w:r>
              <w:t>Verklag sem tryggir að þjónusta sé í samræmi við umhverfisviðmið útboðsgagna.</w:t>
            </w:r>
          </w:p>
          <w:p w:rsidR="0070445C" w:rsidRDefault="0070445C" w:rsidP="0070445C">
            <w:pPr>
              <w:pStyle w:val="ListParagraph"/>
              <w:numPr>
                <w:ilvl w:val="0"/>
                <w:numId w:val="18"/>
              </w:numPr>
              <w:tabs>
                <w:tab w:val="left" w:pos="1426"/>
              </w:tabs>
            </w:pPr>
            <w:r>
              <w:t>Verklag sem tryggir að viðeigandi lög og reglugerðir á sviði umhverfismála séu uppfyllt.</w:t>
            </w:r>
          </w:p>
          <w:p w:rsidR="0070445C" w:rsidRPr="00331D97" w:rsidRDefault="00BC46AD" w:rsidP="0070445C">
            <w:pPr>
              <w:pStyle w:val="ListParagraph"/>
              <w:numPr>
                <w:ilvl w:val="0"/>
                <w:numId w:val="18"/>
              </w:numPr>
              <w:tabs>
                <w:tab w:val="left" w:pos="1426"/>
              </w:tabs>
            </w:pPr>
            <w:r>
              <w:t>Sérstakan</w:t>
            </w:r>
            <w:r w:rsidR="0070445C" w:rsidRPr="00331D97">
              <w:t xml:space="preserve"> tengilið umhverfismála sem getur svarað spurningum sem vakna hjá innkaupaaðilum.</w:t>
            </w:r>
          </w:p>
          <w:p w:rsidR="0070445C" w:rsidRDefault="0070445C" w:rsidP="0070445C">
            <w:pPr>
              <w:pStyle w:val="ListParagraph"/>
              <w:numPr>
                <w:ilvl w:val="0"/>
                <w:numId w:val="18"/>
              </w:numPr>
              <w:tabs>
                <w:tab w:val="left" w:pos="1426"/>
              </w:tabs>
            </w:pPr>
            <w:r>
              <w:t>Verklag til að greina helstu umhverfisþætti þjónustunnar.</w:t>
            </w:r>
          </w:p>
          <w:p w:rsidR="0070445C" w:rsidRDefault="0070445C" w:rsidP="0070445C">
            <w:pPr>
              <w:pStyle w:val="ListParagraph"/>
              <w:numPr>
                <w:ilvl w:val="0"/>
                <w:numId w:val="18"/>
              </w:numPr>
              <w:tabs>
                <w:tab w:val="left" w:pos="1426"/>
              </w:tabs>
            </w:pPr>
            <w:r>
              <w:t>Umhverfisstefnu fyrirtækisins (viðhengi með samningi).</w:t>
            </w:r>
          </w:p>
          <w:p w:rsidR="0070445C" w:rsidRDefault="0070445C" w:rsidP="0070445C">
            <w:pPr>
              <w:pStyle w:val="ListParagraph"/>
              <w:numPr>
                <w:ilvl w:val="0"/>
                <w:numId w:val="18"/>
              </w:numPr>
              <w:tabs>
                <w:tab w:val="left" w:pos="1426"/>
              </w:tabs>
            </w:pPr>
            <w:r>
              <w:t>Verklag sem tryggir reglulega þjálfun starfsmanna í umhverfismálum vegna þjónustunnar.</w:t>
            </w:r>
          </w:p>
          <w:p w:rsidR="000318CF" w:rsidRPr="000318CF" w:rsidRDefault="0070445C" w:rsidP="0070445C">
            <w:pPr>
              <w:pStyle w:val="ListParagraph"/>
              <w:numPr>
                <w:ilvl w:val="0"/>
                <w:numId w:val="18"/>
              </w:numPr>
              <w:tabs>
                <w:tab w:val="left" w:pos="1426"/>
              </w:tabs>
            </w:pPr>
            <w:r w:rsidRPr="000318CF">
              <w:t>Tryggir nauðsynlegar auðlindir og skýra ábyrgðarskiptingu innan fyrirtækisins vegna umhverfisstarfsins.</w:t>
            </w:r>
          </w:p>
          <w:p w:rsidR="006F38A1" w:rsidRDefault="006F38A1" w:rsidP="006F38A1">
            <w:pPr>
              <w:pStyle w:val="ListParagraph"/>
              <w:tabs>
                <w:tab w:val="left" w:pos="1426"/>
              </w:tabs>
            </w:pPr>
          </w:p>
          <w:p w:rsidR="00B21603" w:rsidRDefault="006F38A1" w:rsidP="00B21603">
            <w:pPr>
              <w:tabs>
                <w:tab w:val="left" w:pos="1426"/>
              </w:tabs>
            </w:pPr>
            <w:r w:rsidRPr="009D4C42">
              <w:rPr>
                <w:b/>
              </w:rPr>
              <w:t>Staðfesting</w:t>
            </w:r>
            <w:r>
              <w:t xml:space="preserve">: </w:t>
            </w:r>
            <w:r w:rsidR="00B21603">
              <w:t xml:space="preserve">Fyrir 1. lið: skriflegt verklag sem tryggir að þjónusta sé í samræmi við </w:t>
            </w:r>
            <w:r w:rsidR="00B21603">
              <w:lastRenderedPageBreak/>
              <w:t>umhverfisskilyrði í útboðsgögnum (ásamt dagssetningu og ábyrgðarmanni verklags) eða vottað umhverfisstjórnunarkerfi ef það nær til þjónustunnar (vottunarnúmer).</w:t>
            </w:r>
          </w:p>
          <w:p w:rsidR="006F38A1" w:rsidRDefault="00B21603" w:rsidP="006F38A1">
            <w:pPr>
              <w:tabs>
                <w:tab w:val="left" w:pos="1426"/>
              </w:tabs>
            </w:pPr>
            <w:r>
              <w:t>Fyrir 2.-7. lið: Vottað umhverfisstjórnunarkerfi samkvæmt EMAS eða ISO 14001, sem ná til liða 2-7 (númer vottunar) eða gögn annarra umhverfisstjórnunarkerfa sem ná utan um liði 2-7.</w:t>
            </w:r>
          </w:p>
        </w:tc>
      </w:tr>
      <w:tr w:rsidR="00E646C4" w:rsidRPr="00F60506" w:rsidTr="00EF4A23">
        <w:trPr>
          <w:trHeight w:val="437"/>
        </w:trPr>
        <w:tc>
          <w:tcPr>
            <w:tcW w:w="4593" w:type="dxa"/>
            <w:shd w:val="clear" w:color="auto" w:fill="92D050"/>
          </w:tcPr>
          <w:p w:rsidR="00E646C4" w:rsidRPr="00F60506" w:rsidRDefault="00E646C4" w:rsidP="00F6050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HÆFI BJÓÐENDA</w:t>
            </w:r>
          </w:p>
        </w:tc>
        <w:tc>
          <w:tcPr>
            <w:tcW w:w="4593" w:type="dxa"/>
            <w:shd w:val="clear" w:color="auto" w:fill="92D050"/>
          </w:tcPr>
          <w:p w:rsidR="00E646C4" w:rsidRPr="00F60506" w:rsidRDefault="00E646C4" w:rsidP="00F6050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HÆFI BJÓÐENDA</w:t>
            </w:r>
          </w:p>
        </w:tc>
      </w:tr>
      <w:tr w:rsidR="00E646C4" w:rsidRPr="001608A5" w:rsidTr="00EF4A23">
        <w:trPr>
          <w:trHeight w:val="425"/>
        </w:trPr>
        <w:tc>
          <w:tcPr>
            <w:tcW w:w="4593" w:type="dxa"/>
          </w:tcPr>
          <w:p w:rsidR="00E646C4" w:rsidRPr="001608A5" w:rsidRDefault="00E646C4" w:rsidP="00FF1C80">
            <w:pPr>
              <w:tabs>
                <w:tab w:val="left" w:pos="1426"/>
              </w:tabs>
              <w:rPr>
                <w:b/>
              </w:rPr>
            </w:pPr>
            <w:r w:rsidRPr="001608A5">
              <w:rPr>
                <w:b/>
              </w:rPr>
              <w:t>Raf- og rafeindatækjaúrgangur:</w:t>
            </w:r>
          </w:p>
          <w:p w:rsidR="00E646C4" w:rsidRPr="001608A5" w:rsidRDefault="00E646C4" w:rsidP="00FF1C80">
            <w:pPr>
              <w:tabs>
                <w:tab w:val="left" w:pos="1426"/>
              </w:tabs>
            </w:pPr>
            <w:r w:rsidRPr="001608A5">
              <w:t xml:space="preserve">Seljendur búnaðar skulu vera aðilar að skilakerfi fyrir raf- og rafeindatækjaúrgang samkvæmt reglugerð númer 1104 frá 2008 og vera reiðubúnir að leggja fram staðfestingu þar að lútandi. </w:t>
            </w:r>
          </w:p>
          <w:p w:rsidR="00E646C4" w:rsidRPr="001608A5" w:rsidRDefault="00E646C4" w:rsidP="00FF1C80">
            <w:pPr>
              <w:tabs>
                <w:tab w:val="left" w:pos="1426"/>
              </w:tabs>
            </w:pPr>
            <w:r w:rsidRPr="001608A5">
              <w:rPr>
                <w:b/>
              </w:rPr>
              <w:t>Staðfesting</w:t>
            </w:r>
            <w:r w:rsidRPr="001608A5">
              <w:t>: Staðfesting frá viðurkenndu skilakerfi.</w:t>
            </w:r>
          </w:p>
        </w:tc>
        <w:tc>
          <w:tcPr>
            <w:tcW w:w="4593" w:type="dxa"/>
          </w:tcPr>
          <w:p w:rsidR="00E646C4" w:rsidRPr="001608A5" w:rsidRDefault="00E646C4" w:rsidP="00FF1C80">
            <w:pPr>
              <w:tabs>
                <w:tab w:val="left" w:pos="1426"/>
              </w:tabs>
              <w:rPr>
                <w:b/>
              </w:rPr>
            </w:pPr>
            <w:r w:rsidRPr="001608A5">
              <w:rPr>
                <w:b/>
              </w:rPr>
              <w:t>Raf- og rafeindatækjaúrgangur:</w:t>
            </w:r>
          </w:p>
          <w:p w:rsidR="00E646C4" w:rsidRPr="001608A5" w:rsidRDefault="00E646C4" w:rsidP="00FF1C80">
            <w:pPr>
              <w:tabs>
                <w:tab w:val="left" w:pos="1426"/>
              </w:tabs>
            </w:pPr>
            <w:r w:rsidRPr="001608A5">
              <w:t xml:space="preserve">Seljendur búnaðar skulu vera aðilar að skilakerfi fyrir raf- og rafeindatækjaúrgang samkvæmt reglugerð númer 1104 frá 2008 og vera reiðubúnir að leggja fram staðfestingu þar að lútandi. </w:t>
            </w:r>
          </w:p>
          <w:p w:rsidR="00E646C4" w:rsidRPr="001608A5" w:rsidRDefault="00E646C4" w:rsidP="00FF1C80">
            <w:pPr>
              <w:tabs>
                <w:tab w:val="left" w:pos="1426"/>
              </w:tabs>
            </w:pPr>
            <w:r w:rsidRPr="001608A5">
              <w:rPr>
                <w:b/>
              </w:rPr>
              <w:t>Staðfesting</w:t>
            </w:r>
            <w:r w:rsidRPr="001608A5">
              <w:t>: Staðfesting frá viðurkenndu skilakerfi.</w:t>
            </w:r>
          </w:p>
        </w:tc>
      </w:tr>
    </w:tbl>
    <w:p w:rsidR="006F38A1" w:rsidRDefault="006F38A1" w:rsidP="006F38A1"/>
    <w:p w:rsidR="00FD62C4" w:rsidRDefault="00FD62C4" w:rsidP="00FD62C4">
      <w:pPr>
        <w:rPr>
          <w:highlight w:val="lightGray"/>
        </w:rPr>
      </w:pPr>
    </w:p>
    <w:p w:rsidR="00FD62C4" w:rsidRDefault="00FD62C4">
      <w:pPr>
        <w:spacing w:after="200"/>
        <w:rPr>
          <w:rFonts w:eastAsiaTheme="majorEastAsia" w:cstheme="majorBidi"/>
          <w:b/>
          <w:bCs/>
          <w:smallCaps/>
          <w:sz w:val="32"/>
          <w:szCs w:val="28"/>
          <w:highlight w:val="lightGray"/>
        </w:rPr>
      </w:pPr>
      <w:r>
        <w:rPr>
          <w:highlight w:val="lightGray"/>
        </w:rPr>
        <w:br w:type="page"/>
      </w:r>
    </w:p>
    <w:p w:rsidR="00AD29A1" w:rsidRDefault="009C574B" w:rsidP="00FD62C4">
      <w:pPr>
        <w:pStyle w:val="Heading1"/>
      </w:pPr>
      <w:r>
        <w:lastRenderedPageBreak/>
        <w:t>HLEÐSLUTÆKI FYRIR FARSÍMA</w:t>
      </w:r>
    </w:p>
    <w:tbl>
      <w:tblPr>
        <w:tblStyle w:val="TableGrid11"/>
        <w:tblW w:w="9180" w:type="dxa"/>
        <w:tblLayout w:type="fixed"/>
        <w:tblLook w:val="04A0" w:firstRow="1" w:lastRow="0" w:firstColumn="1" w:lastColumn="0" w:noHBand="0" w:noVBand="1"/>
      </w:tblPr>
      <w:tblGrid>
        <w:gridCol w:w="4590"/>
        <w:gridCol w:w="4590"/>
      </w:tblGrid>
      <w:tr w:rsidR="00FF1A81" w:rsidTr="00EF4A23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F1A81" w:rsidRDefault="00FF1A81" w:rsidP="00F60506">
            <w:pPr>
              <w:pStyle w:val="Titill"/>
              <w:jc w:val="center"/>
            </w:pPr>
            <w:r>
              <w:t>Grunnviðmið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F1A81" w:rsidRDefault="00FF1A81" w:rsidP="00F60506">
            <w:pPr>
              <w:spacing w:before="120"/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Ítarviðmið</w:t>
            </w:r>
          </w:p>
        </w:tc>
      </w:tr>
      <w:tr w:rsidR="00FF1A81" w:rsidRPr="00F60506" w:rsidTr="00EF4A23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F1A81" w:rsidRDefault="00FF1A81" w:rsidP="00F6050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LÁGMARKSSKILYRÐI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F1A81" w:rsidRDefault="00FF1A81" w:rsidP="00F6050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LÁGMARKSSKILYRÐI</w:t>
            </w:r>
          </w:p>
        </w:tc>
      </w:tr>
      <w:tr w:rsidR="00FF1A81" w:rsidTr="00EF4A23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9" w:rsidRDefault="001F11E9" w:rsidP="001F11E9">
            <w:pPr>
              <w:pStyle w:val="ListParagraph"/>
              <w:numPr>
                <w:ilvl w:val="0"/>
                <w:numId w:val="2"/>
              </w:numPr>
              <w:spacing w:after="200"/>
              <w:rPr>
                <w:b/>
              </w:rPr>
            </w:pPr>
            <w:r>
              <w:rPr>
                <w:b/>
              </w:rPr>
              <w:t>Orkunotkun þegar ekki er verið að hlaða (</w:t>
            </w:r>
            <w:r w:rsidR="0075637E"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load</w:t>
            </w:r>
            <w:proofErr w:type="spellEnd"/>
            <w:r>
              <w:rPr>
                <w:b/>
              </w:rPr>
              <w:t>)</w:t>
            </w:r>
          </w:p>
          <w:p w:rsidR="001F11E9" w:rsidRDefault="001F11E9" w:rsidP="001F11E9">
            <w:pPr>
              <w:spacing w:after="200"/>
            </w:pPr>
            <w:r>
              <w:t xml:space="preserve">Hleðslutæki skal að lágmarki uppfylla fjórða stig IPP (IPP </w:t>
            </w:r>
            <w:proofErr w:type="spellStart"/>
            <w:r>
              <w:t>Industry</w:t>
            </w:r>
            <w:proofErr w:type="spellEnd"/>
            <w:r>
              <w:t xml:space="preserve"> </w:t>
            </w:r>
            <w:proofErr w:type="spellStart"/>
            <w:r>
              <w:t>Voluntary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hyperlink r:id="rId11" w:history="1">
              <w:r>
                <w:rPr>
                  <w:rStyle w:val="Hyperlink"/>
                </w:rPr>
                <w:t>http://ec.europa.eu/environment/ipp/pdf/ipp_voluntary_agree_criteria.pdf</w:t>
              </w:r>
            </w:hyperlink>
            <w:r>
              <w:t>) (&gt;0,03 til 0,15</w:t>
            </w:r>
            <w:r w:rsidR="0075637E">
              <w:t xml:space="preserve"> </w:t>
            </w:r>
            <w:r>
              <w:t xml:space="preserve">W) </w:t>
            </w:r>
            <w:r w:rsidR="0075637E">
              <w:t xml:space="preserve">orkunotkunar </w:t>
            </w:r>
            <w:r>
              <w:t>þegar farsími er ekki í hleðslu.</w:t>
            </w:r>
          </w:p>
          <w:p w:rsidR="00FF1A81" w:rsidRDefault="001F11E9" w:rsidP="00A63CE4">
            <w:r w:rsidRPr="001135B4">
              <w:rPr>
                <w:b/>
              </w:rPr>
              <w:t>Staðfesting</w:t>
            </w:r>
            <w:r>
              <w:t>: Tækni</w:t>
            </w:r>
            <w:r w:rsidR="0075637E">
              <w:t>upplýsingar</w:t>
            </w:r>
            <w:r>
              <w:t xml:space="preserve"> frá framleiðanda sem sýnir að viðmið</w:t>
            </w:r>
            <w:r w:rsidR="0075637E">
              <w:t>ið sé uppfyllt</w:t>
            </w:r>
            <w:r>
              <w:t xml:space="preserve">, eða </w:t>
            </w:r>
            <w:r w:rsidR="00A63CE4">
              <w:t>yfirlýsingu frá birgja sem staðfestir að til séu aðgengilegar tækniupplýsingar sem sanna að viðmiðin séu uppfyllt</w:t>
            </w:r>
            <w:r>
              <w:t>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E9" w:rsidRDefault="001F11E9" w:rsidP="001F11E9">
            <w:pPr>
              <w:pStyle w:val="ListParagraph"/>
              <w:numPr>
                <w:ilvl w:val="0"/>
                <w:numId w:val="14"/>
              </w:numPr>
              <w:spacing w:after="200"/>
              <w:rPr>
                <w:b/>
              </w:rPr>
            </w:pPr>
            <w:r>
              <w:rPr>
                <w:b/>
              </w:rPr>
              <w:t>Orkunotkun þegar ekki er verið að hlaða (</w:t>
            </w:r>
            <w:r w:rsidR="0075637E"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load</w:t>
            </w:r>
            <w:proofErr w:type="spellEnd"/>
            <w:r>
              <w:rPr>
                <w:b/>
              </w:rPr>
              <w:t>)</w:t>
            </w:r>
          </w:p>
          <w:p w:rsidR="001F11E9" w:rsidRDefault="001F11E9" w:rsidP="001F11E9">
            <w:pPr>
              <w:spacing w:after="200"/>
            </w:pPr>
            <w:r>
              <w:t xml:space="preserve">Hleðslutæki skal að lágmarki uppfylla fimmta stig IPP (IPP </w:t>
            </w:r>
            <w:proofErr w:type="spellStart"/>
            <w:r>
              <w:t>Industry</w:t>
            </w:r>
            <w:proofErr w:type="spellEnd"/>
            <w:r>
              <w:t xml:space="preserve"> </w:t>
            </w:r>
            <w:proofErr w:type="spellStart"/>
            <w:r>
              <w:t>Voluntary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hyperlink r:id="rId12" w:history="1">
              <w:r>
                <w:rPr>
                  <w:rStyle w:val="Hyperlink"/>
                </w:rPr>
                <w:t>http://ec.europa.eu/environment/ipp/pdf/ipp_voluntary_agree_criteria.pdf</w:t>
              </w:r>
            </w:hyperlink>
            <w:r>
              <w:t>) (</w:t>
            </w:r>
            <w:r>
              <w:rPr>
                <w:rFonts w:cs="Times New Roman"/>
              </w:rPr>
              <w:t>≤</w:t>
            </w:r>
            <w:r>
              <w:t xml:space="preserve"> 0,03 W) </w:t>
            </w:r>
            <w:r w:rsidR="0075637E">
              <w:t xml:space="preserve">orkunotkunar </w:t>
            </w:r>
            <w:r>
              <w:t>þegar far</w:t>
            </w:r>
            <w:r w:rsidR="0075637E">
              <w:t>sími er ekki í hleðslu</w:t>
            </w:r>
            <w:r>
              <w:t>.</w:t>
            </w:r>
          </w:p>
          <w:p w:rsidR="00FF1A81" w:rsidRDefault="001F11E9" w:rsidP="001F11E9">
            <w:r w:rsidRPr="001135B4">
              <w:rPr>
                <w:b/>
              </w:rPr>
              <w:t>Staðfesting</w:t>
            </w:r>
            <w:r>
              <w:t xml:space="preserve">: </w:t>
            </w:r>
            <w:r w:rsidR="00A63CE4">
              <w:t>Tækniupplýsingar frá framleiðanda sem sýnir að viðmiðið sé uppfyllt, eða yfirlýsingu frá birgja sem staðfestir að til séu aðgengilegar tækniupplýsingar sem sanna að viðmiðin séu uppfyllt</w:t>
            </w:r>
            <w:r>
              <w:t>.</w:t>
            </w:r>
          </w:p>
        </w:tc>
      </w:tr>
      <w:tr w:rsidR="00E646C4" w:rsidRPr="00F60506" w:rsidTr="00EF4A23">
        <w:trPr>
          <w:trHeight w:val="437"/>
        </w:trPr>
        <w:tc>
          <w:tcPr>
            <w:tcW w:w="4593" w:type="dxa"/>
            <w:shd w:val="clear" w:color="auto" w:fill="92D050"/>
          </w:tcPr>
          <w:p w:rsidR="00E646C4" w:rsidRPr="00F60506" w:rsidRDefault="00E646C4" w:rsidP="00F6050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HÆFI BJÓÐENDA</w:t>
            </w:r>
          </w:p>
        </w:tc>
        <w:tc>
          <w:tcPr>
            <w:tcW w:w="4593" w:type="dxa"/>
            <w:shd w:val="clear" w:color="auto" w:fill="92D050"/>
          </w:tcPr>
          <w:p w:rsidR="00E646C4" w:rsidRPr="00F60506" w:rsidRDefault="00E646C4" w:rsidP="00F6050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HÆFI BJÓÐENDA</w:t>
            </w:r>
          </w:p>
        </w:tc>
      </w:tr>
      <w:tr w:rsidR="00E646C4" w:rsidRPr="001608A5" w:rsidTr="00EF4A23">
        <w:trPr>
          <w:trHeight w:val="425"/>
        </w:trPr>
        <w:tc>
          <w:tcPr>
            <w:tcW w:w="4593" w:type="dxa"/>
          </w:tcPr>
          <w:p w:rsidR="00E646C4" w:rsidRPr="001608A5" w:rsidRDefault="00E646C4" w:rsidP="00FF1C80">
            <w:pPr>
              <w:tabs>
                <w:tab w:val="left" w:pos="1426"/>
              </w:tabs>
              <w:rPr>
                <w:b/>
              </w:rPr>
            </w:pPr>
            <w:r w:rsidRPr="001608A5">
              <w:rPr>
                <w:b/>
              </w:rPr>
              <w:t>Raf- og rafeindatækjaúrgangur:</w:t>
            </w:r>
          </w:p>
          <w:p w:rsidR="00E646C4" w:rsidRPr="001608A5" w:rsidRDefault="00E646C4" w:rsidP="00FF1C80">
            <w:pPr>
              <w:tabs>
                <w:tab w:val="left" w:pos="1426"/>
              </w:tabs>
            </w:pPr>
            <w:r w:rsidRPr="001608A5">
              <w:t xml:space="preserve">Seljendur búnaðar skulu vera aðilar að skilakerfi fyrir raf- og rafeindatækjaúrgang samkvæmt reglugerð númer 1104 frá 2008 og vera reiðubúnir að leggja fram staðfestingu þar að lútandi. </w:t>
            </w:r>
          </w:p>
          <w:p w:rsidR="00E646C4" w:rsidRPr="001608A5" w:rsidRDefault="00E646C4" w:rsidP="00FF1C80">
            <w:pPr>
              <w:tabs>
                <w:tab w:val="left" w:pos="1426"/>
              </w:tabs>
            </w:pPr>
            <w:r w:rsidRPr="001608A5">
              <w:rPr>
                <w:b/>
              </w:rPr>
              <w:t>Staðfesting</w:t>
            </w:r>
            <w:r w:rsidRPr="001608A5">
              <w:t>: Staðfesting frá viðurkenndu skilakerfi.</w:t>
            </w:r>
          </w:p>
        </w:tc>
        <w:tc>
          <w:tcPr>
            <w:tcW w:w="4593" w:type="dxa"/>
          </w:tcPr>
          <w:p w:rsidR="00E646C4" w:rsidRPr="001608A5" w:rsidRDefault="00E646C4" w:rsidP="00FF1C80">
            <w:pPr>
              <w:tabs>
                <w:tab w:val="left" w:pos="1426"/>
              </w:tabs>
              <w:rPr>
                <w:b/>
              </w:rPr>
            </w:pPr>
            <w:r w:rsidRPr="001608A5">
              <w:rPr>
                <w:b/>
              </w:rPr>
              <w:t>Raf- og rafeindatækjaúrgangur:</w:t>
            </w:r>
          </w:p>
          <w:p w:rsidR="00E646C4" w:rsidRPr="001608A5" w:rsidRDefault="00E646C4" w:rsidP="00FF1C80">
            <w:pPr>
              <w:tabs>
                <w:tab w:val="left" w:pos="1426"/>
              </w:tabs>
            </w:pPr>
            <w:r w:rsidRPr="001608A5">
              <w:t xml:space="preserve">Seljendur búnaðar skulu vera aðilar að skilakerfi fyrir raf- og rafeindatækjaúrgang samkvæmt reglugerð númer 1104 frá 2008 og vera reiðubúnir að leggja fram staðfestingu þar að lútandi. </w:t>
            </w:r>
          </w:p>
          <w:p w:rsidR="00E646C4" w:rsidRPr="001608A5" w:rsidRDefault="00E646C4" w:rsidP="00FF1C80">
            <w:pPr>
              <w:tabs>
                <w:tab w:val="left" w:pos="1426"/>
              </w:tabs>
            </w:pPr>
            <w:r w:rsidRPr="001608A5">
              <w:rPr>
                <w:b/>
              </w:rPr>
              <w:t>Staðfesting</w:t>
            </w:r>
            <w:r w:rsidRPr="001608A5">
              <w:t>: Staðfesting frá viðurkenndu skilakerfi.</w:t>
            </w:r>
          </w:p>
        </w:tc>
      </w:tr>
    </w:tbl>
    <w:p w:rsidR="00FF1A81" w:rsidRDefault="00FF1A81" w:rsidP="00FF1A81"/>
    <w:p w:rsidR="00FF1A81" w:rsidRPr="00FF1A81" w:rsidRDefault="00FF1A81" w:rsidP="00FF1A81"/>
    <w:p w:rsidR="00067291" w:rsidRDefault="00ED137A" w:rsidP="006C2768">
      <w:pPr>
        <w:pStyle w:val="Heading1"/>
        <w:numPr>
          <w:ilvl w:val="0"/>
          <w:numId w:val="0"/>
        </w:numPr>
        <w:ind w:left="360" w:hanging="360"/>
      </w:pPr>
      <w:r>
        <w:br w:type="page"/>
      </w:r>
      <w:r w:rsidR="00FB30C8">
        <w:lastRenderedPageBreak/>
        <w:t xml:space="preserve">3  </w:t>
      </w:r>
      <w:r w:rsidR="009C574B">
        <w:t>ÞRÁÐLAUSIR SÍMAR</w:t>
      </w:r>
    </w:p>
    <w:tbl>
      <w:tblPr>
        <w:tblStyle w:val="TableGrid1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9C574B" w:rsidRPr="00994DE5" w:rsidTr="0004045D">
        <w:tc>
          <w:tcPr>
            <w:tcW w:w="9039" w:type="dxa"/>
            <w:shd w:val="clear" w:color="auto" w:fill="FFFF00"/>
          </w:tcPr>
          <w:p w:rsidR="009C574B" w:rsidRPr="00B17204" w:rsidRDefault="001F11E9" w:rsidP="00F60506">
            <w:pPr>
              <w:pStyle w:val="Titill"/>
              <w:jc w:val="center"/>
            </w:pPr>
            <w:r>
              <w:t>Ítarv</w:t>
            </w:r>
            <w:r w:rsidR="009C574B" w:rsidRPr="00B17204">
              <w:t>iðmið</w:t>
            </w:r>
          </w:p>
        </w:tc>
      </w:tr>
      <w:tr w:rsidR="009C574B" w:rsidRPr="00F60506" w:rsidTr="0004045D">
        <w:tc>
          <w:tcPr>
            <w:tcW w:w="9039" w:type="dxa"/>
            <w:shd w:val="clear" w:color="auto" w:fill="92D050"/>
          </w:tcPr>
          <w:p w:rsidR="009C574B" w:rsidRPr="00191544" w:rsidRDefault="009C574B" w:rsidP="00F60506">
            <w:pPr>
              <w:spacing w:before="240" w:line="276" w:lineRule="auto"/>
              <w:jc w:val="center"/>
              <w:rPr>
                <w:b/>
              </w:rPr>
            </w:pPr>
            <w:r w:rsidRPr="001F11E9">
              <w:rPr>
                <w:b/>
              </w:rPr>
              <w:t>LÁGMARKSSKILYRÐI</w:t>
            </w:r>
            <w:r w:rsidR="0093635E">
              <w:rPr>
                <w:b/>
              </w:rPr>
              <w:t xml:space="preserve"> </w:t>
            </w:r>
          </w:p>
        </w:tc>
      </w:tr>
      <w:tr w:rsidR="009C574B" w:rsidRPr="00994DE5" w:rsidTr="0004045D">
        <w:tc>
          <w:tcPr>
            <w:tcW w:w="9039" w:type="dxa"/>
          </w:tcPr>
          <w:p w:rsidR="009C574B" w:rsidRDefault="0093635E" w:rsidP="001F11E9">
            <w:pPr>
              <w:pStyle w:val="ListParagraph"/>
              <w:numPr>
                <w:ilvl w:val="0"/>
                <w:numId w:val="7"/>
              </w:numPr>
              <w:spacing w:after="200"/>
              <w:rPr>
                <w:b/>
              </w:rPr>
            </w:pPr>
            <w:r>
              <w:rPr>
                <w:b/>
              </w:rPr>
              <w:t>Orkunotkun</w:t>
            </w:r>
          </w:p>
          <w:p w:rsidR="009F4D8A" w:rsidRDefault="00341242" w:rsidP="0004045D">
            <w:r>
              <w:t>Þ</w:t>
            </w:r>
            <w:r w:rsidR="009F4D8A">
              <w:t xml:space="preserve">ráðlausir símar skulu uppfylla viðmið orkumerkisins </w:t>
            </w:r>
            <w:proofErr w:type="spellStart"/>
            <w:r w:rsidR="009F4D8A">
              <w:t>Energy</w:t>
            </w:r>
            <w:proofErr w:type="spellEnd"/>
            <w:r w:rsidR="009F4D8A">
              <w:t xml:space="preserve"> Star eða sambærileg viðmið fyrir þráðlausa síma. Með þráðlausum síma er átt við raftæki sem sel</w:t>
            </w:r>
            <w:r>
              <w:t>d</w:t>
            </w:r>
            <w:r w:rsidR="009F4D8A">
              <w:t xml:space="preserve"> er</w:t>
            </w:r>
            <w:r>
              <w:t>u</w:t>
            </w:r>
            <w:r w:rsidR="009F4D8A">
              <w:t xml:space="preserve"> á almennum markaði</w:t>
            </w:r>
            <w:r>
              <w:t>,</w:t>
            </w:r>
            <w:r w:rsidR="009F4D8A">
              <w:t xml:space="preserve"> með grunnstöð og síma sem breyt</w:t>
            </w:r>
            <w:r>
              <w:t>ir</w:t>
            </w:r>
            <w:r w:rsidR="009F4D8A">
              <w:t xml:space="preserve"> hljóði í rafboð</w:t>
            </w:r>
            <w:r>
              <w:t xml:space="preserve"> til sendingar</w:t>
            </w:r>
            <w:r w:rsidR="009F4D8A">
              <w:t>.</w:t>
            </w:r>
          </w:p>
          <w:p w:rsidR="009C574B" w:rsidRPr="001D395E" w:rsidRDefault="009C574B" w:rsidP="009D1DDA">
            <w:r w:rsidRPr="001135B4">
              <w:rPr>
                <w:b/>
              </w:rPr>
              <w:t>Staðfesting</w:t>
            </w:r>
            <w:r>
              <w:t xml:space="preserve">: </w:t>
            </w:r>
            <w:r w:rsidR="0093635E">
              <w:t xml:space="preserve">Vottun samkvæmt </w:t>
            </w:r>
            <w:r w:rsidR="00341242">
              <w:t xml:space="preserve">orkumerkinu </w:t>
            </w:r>
            <w:proofErr w:type="spellStart"/>
            <w:r w:rsidR="0093635E">
              <w:t>Energy</w:t>
            </w:r>
            <w:proofErr w:type="spellEnd"/>
            <w:r w:rsidR="0093635E">
              <w:t xml:space="preserve"> Star</w:t>
            </w:r>
            <w:r w:rsidR="009035E9">
              <w:t>,</w:t>
            </w:r>
            <w:r w:rsidR="00B256F1">
              <w:t xml:space="preserve"> sambærileg gögn sem stað</w:t>
            </w:r>
            <w:r w:rsidR="0093635E">
              <w:t xml:space="preserve">festa að viðmið séu uppfyllt eða </w:t>
            </w:r>
            <w:r w:rsidR="00A63CE4">
              <w:t>yfirlýsing frá birgja sem staðfestir að til séu aðgengilegar tækniupplýsingar sem sanna að viðmiðin séu uppfyllt</w:t>
            </w:r>
            <w:r w:rsidR="0093635E">
              <w:t xml:space="preserve">. </w:t>
            </w:r>
          </w:p>
        </w:tc>
      </w:tr>
    </w:tbl>
    <w:tbl>
      <w:tblPr>
        <w:tblStyle w:val="TableGrid11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E646C4" w:rsidRPr="00F60506" w:rsidTr="00E646C4">
        <w:trPr>
          <w:trHeight w:val="437"/>
        </w:trPr>
        <w:tc>
          <w:tcPr>
            <w:tcW w:w="9039" w:type="dxa"/>
            <w:shd w:val="clear" w:color="auto" w:fill="92D050"/>
          </w:tcPr>
          <w:p w:rsidR="00E646C4" w:rsidRPr="00F60506" w:rsidRDefault="00E646C4" w:rsidP="00F60506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HÆFI BJÓÐENDA</w:t>
            </w:r>
          </w:p>
        </w:tc>
      </w:tr>
      <w:tr w:rsidR="00E646C4" w:rsidRPr="001608A5" w:rsidTr="00E646C4">
        <w:trPr>
          <w:trHeight w:val="425"/>
        </w:trPr>
        <w:tc>
          <w:tcPr>
            <w:tcW w:w="9039" w:type="dxa"/>
            <w:shd w:val="clear" w:color="auto" w:fill="FFFFFF" w:themeFill="background1"/>
          </w:tcPr>
          <w:p w:rsidR="00E646C4" w:rsidRPr="001608A5" w:rsidRDefault="00E646C4" w:rsidP="00FF1C80">
            <w:pPr>
              <w:tabs>
                <w:tab w:val="left" w:pos="1426"/>
              </w:tabs>
              <w:rPr>
                <w:b/>
              </w:rPr>
            </w:pPr>
            <w:r w:rsidRPr="001608A5">
              <w:rPr>
                <w:b/>
              </w:rPr>
              <w:t>Raf- og rafeindatækjaúrgangur:</w:t>
            </w:r>
          </w:p>
          <w:p w:rsidR="00E646C4" w:rsidRPr="001608A5" w:rsidRDefault="00E646C4" w:rsidP="00E646C4">
            <w:r w:rsidRPr="001608A5">
              <w:t xml:space="preserve">Seljendur búnaðar skulu vera aðilar að skilakerfi fyrir raf- og rafeindatækjaúrgang samkvæmt reglugerð númer 1104 frá 2008 og vera reiðubúnir að leggja fram staðfestingu þar að lútandi. </w:t>
            </w:r>
          </w:p>
          <w:p w:rsidR="00E646C4" w:rsidRPr="001608A5" w:rsidRDefault="00E646C4" w:rsidP="00FF1C80">
            <w:pPr>
              <w:tabs>
                <w:tab w:val="left" w:pos="1426"/>
              </w:tabs>
            </w:pPr>
            <w:r w:rsidRPr="001608A5">
              <w:rPr>
                <w:b/>
              </w:rPr>
              <w:t>Staðfesting</w:t>
            </w:r>
            <w:r w:rsidRPr="001608A5">
              <w:t>: Staðfesting frá viðurkenndu skilakerfi.</w:t>
            </w:r>
          </w:p>
        </w:tc>
      </w:tr>
    </w:tbl>
    <w:p w:rsidR="009C574B" w:rsidRPr="009C574B" w:rsidRDefault="009C574B" w:rsidP="009C574B"/>
    <w:sectPr w:rsidR="009C574B" w:rsidRPr="009C57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AE" w:rsidRDefault="00234CAE" w:rsidP="00F51B15">
      <w:pPr>
        <w:spacing w:after="0" w:line="240" w:lineRule="auto"/>
      </w:pPr>
      <w:r>
        <w:separator/>
      </w:r>
    </w:p>
  </w:endnote>
  <w:endnote w:type="continuationSeparator" w:id="0">
    <w:p w:rsidR="00234CAE" w:rsidRDefault="00234CAE" w:rsidP="00F5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CB" w:rsidRDefault="00412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CB" w:rsidRPr="00F51B15" w:rsidRDefault="004127CB" w:rsidP="00F51B15">
    <w:pPr>
      <w:pStyle w:val="Footer"/>
      <w:jc w:val="right"/>
      <w:rPr>
        <w:sz w:val="22"/>
      </w:rPr>
    </w:pPr>
    <w:r w:rsidRPr="00F51B15">
      <w:rPr>
        <w:noProof/>
        <w:sz w:val="22"/>
      </w:rPr>
      <w:fldChar w:fldCharType="begin"/>
    </w:r>
    <w:r w:rsidRPr="00F51B15">
      <w:rPr>
        <w:noProof/>
        <w:sz w:val="22"/>
      </w:rPr>
      <w:instrText xml:space="preserve"> PAGE  \* Arabic  \* MERGEFORMAT </w:instrText>
    </w:r>
    <w:r w:rsidRPr="00F51B15">
      <w:rPr>
        <w:noProof/>
        <w:sz w:val="22"/>
      </w:rPr>
      <w:fldChar w:fldCharType="separate"/>
    </w:r>
    <w:r w:rsidR="00C74095">
      <w:rPr>
        <w:noProof/>
        <w:sz w:val="22"/>
      </w:rPr>
      <w:t>2</w:t>
    </w:r>
    <w:r w:rsidRPr="00F51B15">
      <w:rPr>
        <w:noProof/>
        <w:sz w:val="22"/>
      </w:rPr>
      <w:fldChar w:fldCharType="end"/>
    </w:r>
    <w:r w:rsidRPr="00F51B15">
      <w:rPr>
        <w:noProof/>
        <w:sz w:val="22"/>
      </w:rPr>
      <w:t xml:space="preserve"> / </w:t>
    </w:r>
    <w:r w:rsidRPr="00F51B15">
      <w:rPr>
        <w:noProof/>
        <w:sz w:val="22"/>
      </w:rPr>
      <w:fldChar w:fldCharType="begin"/>
    </w:r>
    <w:r w:rsidRPr="00F51B15">
      <w:rPr>
        <w:noProof/>
        <w:sz w:val="22"/>
      </w:rPr>
      <w:instrText xml:space="preserve"> NUMPAGES  \* Arabic  \* MERGEFORMAT </w:instrText>
    </w:r>
    <w:r w:rsidRPr="00F51B15">
      <w:rPr>
        <w:noProof/>
        <w:sz w:val="22"/>
      </w:rPr>
      <w:fldChar w:fldCharType="separate"/>
    </w:r>
    <w:r w:rsidR="00C74095">
      <w:rPr>
        <w:noProof/>
        <w:sz w:val="22"/>
      </w:rPr>
      <w:t>7</w:t>
    </w:r>
    <w:r w:rsidRPr="00F51B15">
      <w:rPr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CB" w:rsidRDefault="00412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AE" w:rsidRDefault="00234CAE" w:rsidP="00F51B15">
      <w:pPr>
        <w:spacing w:after="0" w:line="240" w:lineRule="auto"/>
      </w:pPr>
      <w:r>
        <w:separator/>
      </w:r>
    </w:p>
  </w:footnote>
  <w:footnote w:type="continuationSeparator" w:id="0">
    <w:p w:rsidR="00234CAE" w:rsidRDefault="00234CAE" w:rsidP="00F5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CB" w:rsidRDefault="00412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CB" w:rsidRDefault="004127CB">
    <w:pPr>
      <w:pStyle w:val="Header"/>
      <w:rPr>
        <w:color w:val="808080" w:themeColor="background1" w:themeShade="80"/>
      </w:rPr>
    </w:pPr>
    <w:r>
      <w:rPr>
        <w:noProof/>
        <w:color w:val="808080" w:themeColor="background1" w:themeShade="80"/>
        <w:lang w:eastAsia="is-IS"/>
      </w:rPr>
      <w:drawing>
        <wp:inline distT="0" distB="0" distL="0" distR="0" wp14:anchorId="200CA014" wp14:editId="1F65DC42">
          <wp:extent cx="1282535" cy="47423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g texti VISTVÆN INNKA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537" cy="47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27CB" w:rsidRPr="000A49FB" w:rsidRDefault="004127CB">
    <w:pPr>
      <w:pStyle w:val="Head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CB" w:rsidRDefault="00412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0E9"/>
    <w:multiLevelType w:val="hybridMultilevel"/>
    <w:tmpl w:val="82D23F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C24"/>
    <w:multiLevelType w:val="hybridMultilevel"/>
    <w:tmpl w:val="AC8ACE4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6878"/>
    <w:multiLevelType w:val="hybridMultilevel"/>
    <w:tmpl w:val="379A94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65E6A"/>
    <w:multiLevelType w:val="hybridMultilevel"/>
    <w:tmpl w:val="8514D536"/>
    <w:lvl w:ilvl="0" w:tplc="13D65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6399"/>
    <w:multiLevelType w:val="hybridMultilevel"/>
    <w:tmpl w:val="0F6C231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C6A74"/>
    <w:multiLevelType w:val="multilevel"/>
    <w:tmpl w:val="064607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2EF6A24"/>
    <w:multiLevelType w:val="hybridMultilevel"/>
    <w:tmpl w:val="897824C6"/>
    <w:lvl w:ilvl="0" w:tplc="42BEF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9145DA"/>
    <w:multiLevelType w:val="hybridMultilevel"/>
    <w:tmpl w:val="0F6C231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50E18"/>
    <w:multiLevelType w:val="hybridMultilevel"/>
    <w:tmpl w:val="F07A0B9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313C4E"/>
    <w:multiLevelType w:val="hybridMultilevel"/>
    <w:tmpl w:val="82D23F7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052"/>
    <w:multiLevelType w:val="hybridMultilevel"/>
    <w:tmpl w:val="E2160D5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60C32"/>
    <w:multiLevelType w:val="hybridMultilevel"/>
    <w:tmpl w:val="2E3ADC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F4A96"/>
    <w:multiLevelType w:val="hybridMultilevel"/>
    <w:tmpl w:val="53542F9C"/>
    <w:lvl w:ilvl="0" w:tplc="294E0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577F8"/>
    <w:multiLevelType w:val="hybridMultilevel"/>
    <w:tmpl w:val="E2160D5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17D6F"/>
    <w:multiLevelType w:val="hybridMultilevel"/>
    <w:tmpl w:val="C25E01F2"/>
    <w:lvl w:ilvl="0" w:tplc="42BEF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63E2E"/>
    <w:multiLevelType w:val="hybridMultilevel"/>
    <w:tmpl w:val="3D541A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9691E"/>
    <w:multiLevelType w:val="hybridMultilevel"/>
    <w:tmpl w:val="F5A08730"/>
    <w:lvl w:ilvl="0" w:tplc="F4E0F7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446A6"/>
    <w:multiLevelType w:val="hybridMultilevel"/>
    <w:tmpl w:val="276A5B2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17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1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ðmundur Hannesson">
    <w15:presenceInfo w15:providerId="AD" w15:userId="S-1-5-21-71174984-1882996816-965413785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D8"/>
    <w:rsid w:val="0000066D"/>
    <w:rsid w:val="00020064"/>
    <w:rsid w:val="00025700"/>
    <w:rsid w:val="000318CF"/>
    <w:rsid w:val="0003641D"/>
    <w:rsid w:val="00054A83"/>
    <w:rsid w:val="00064228"/>
    <w:rsid w:val="00067291"/>
    <w:rsid w:val="00087091"/>
    <w:rsid w:val="000A49FB"/>
    <w:rsid w:val="000B5CCE"/>
    <w:rsid w:val="000C498C"/>
    <w:rsid w:val="000D7F70"/>
    <w:rsid w:val="0010252F"/>
    <w:rsid w:val="001135B4"/>
    <w:rsid w:val="001232B7"/>
    <w:rsid w:val="00123C03"/>
    <w:rsid w:val="00124674"/>
    <w:rsid w:val="00154BC4"/>
    <w:rsid w:val="001805BF"/>
    <w:rsid w:val="0018137F"/>
    <w:rsid w:val="00182A8C"/>
    <w:rsid w:val="00191544"/>
    <w:rsid w:val="0019464A"/>
    <w:rsid w:val="001A0053"/>
    <w:rsid w:val="001C27CF"/>
    <w:rsid w:val="001F11E9"/>
    <w:rsid w:val="0020480D"/>
    <w:rsid w:val="0021242B"/>
    <w:rsid w:val="0022480F"/>
    <w:rsid w:val="00230265"/>
    <w:rsid w:val="00234CAE"/>
    <w:rsid w:val="00286FDC"/>
    <w:rsid w:val="00295BA7"/>
    <w:rsid w:val="002A0F11"/>
    <w:rsid w:val="002C7F93"/>
    <w:rsid w:val="002D7FBD"/>
    <w:rsid w:val="002F4D31"/>
    <w:rsid w:val="002F57F8"/>
    <w:rsid w:val="0030066D"/>
    <w:rsid w:val="00306AAA"/>
    <w:rsid w:val="00331D97"/>
    <w:rsid w:val="003373AF"/>
    <w:rsid w:val="00340855"/>
    <w:rsid w:val="00341242"/>
    <w:rsid w:val="00346FE5"/>
    <w:rsid w:val="00352465"/>
    <w:rsid w:val="003538B0"/>
    <w:rsid w:val="00356A92"/>
    <w:rsid w:val="00364301"/>
    <w:rsid w:val="00385AA1"/>
    <w:rsid w:val="00385D2D"/>
    <w:rsid w:val="00390D33"/>
    <w:rsid w:val="00391AB2"/>
    <w:rsid w:val="00394F78"/>
    <w:rsid w:val="003A5316"/>
    <w:rsid w:val="003B5640"/>
    <w:rsid w:val="003C4CF0"/>
    <w:rsid w:val="003E1EBD"/>
    <w:rsid w:val="003E2F05"/>
    <w:rsid w:val="003E3197"/>
    <w:rsid w:val="003E739C"/>
    <w:rsid w:val="003F68FB"/>
    <w:rsid w:val="004127CB"/>
    <w:rsid w:val="00423A88"/>
    <w:rsid w:val="00424FF4"/>
    <w:rsid w:val="00442BC4"/>
    <w:rsid w:val="00444FCC"/>
    <w:rsid w:val="00445153"/>
    <w:rsid w:val="004727CE"/>
    <w:rsid w:val="00490C88"/>
    <w:rsid w:val="004F00B2"/>
    <w:rsid w:val="00513F54"/>
    <w:rsid w:val="005454B1"/>
    <w:rsid w:val="0054697F"/>
    <w:rsid w:val="00555E9B"/>
    <w:rsid w:val="0055620D"/>
    <w:rsid w:val="00557315"/>
    <w:rsid w:val="00576787"/>
    <w:rsid w:val="005D0978"/>
    <w:rsid w:val="005D49DB"/>
    <w:rsid w:val="005F6BFB"/>
    <w:rsid w:val="005F787B"/>
    <w:rsid w:val="005F78EE"/>
    <w:rsid w:val="006069C3"/>
    <w:rsid w:val="00607610"/>
    <w:rsid w:val="00622885"/>
    <w:rsid w:val="00627124"/>
    <w:rsid w:val="006364FE"/>
    <w:rsid w:val="006565DF"/>
    <w:rsid w:val="00660888"/>
    <w:rsid w:val="00680A59"/>
    <w:rsid w:val="0068219A"/>
    <w:rsid w:val="006C05F3"/>
    <w:rsid w:val="006C2768"/>
    <w:rsid w:val="006C5B6B"/>
    <w:rsid w:val="006D40D5"/>
    <w:rsid w:val="006F38A1"/>
    <w:rsid w:val="006F3C4E"/>
    <w:rsid w:val="007020EA"/>
    <w:rsid w:val="0070445C"/>
    <w:rsid w:val="00712AA1"/>
    <w:rsid w:val="0071522A"/>
    <w:rsid w:val="007236F0"/>
    <w:rsid w:val="007278D6"/>
    <w:rsid w:val="0073003E"/>
    <w:rsid w:val="007335CD"/>
    <w:rsid w:val="0073786F"/>
    <w:rsid w:val="00737FA3"/>
    <w:rsid w:val="0075637E"/>
    <w:rsid w:val="007566D8"/>
    <w:rsid w:val="0078123B"/>
    <w:rsid w:val="007A3068"/>
    <w:rsid w:val="007B3C43"/>
    <w:rsid w:val="007D09BB"/>
    <w:rsid w:val="007D3928"/>
    <w:rsid w:val="00810C4A"/>
    <w:rsid w:val="00827EC3"/>
    <w:rsid w:val="00831135"/>
    <w:rsid w:val="00832DDF"/>
    <w:rsid w:val="0087179B"/>
    <w:rsid w:val="008870C3"/>
    <w:rsid w:val="00895AE4"/>
    <w:rsid w:val="008A3FAB"/>
    <w:rsid w:val="008C351B"/>
    <w:rsid w:val="008C5AA0"/>
    <w:rsid w:val="00901155"/>
    <w:rsid w:val="009035E9"/>
    <w:rsid w:val="00920E19"/>
    <w:rsid w:val="0093108E"/>
    <w:rsid w:val="0093635E"/>
    <w:rsid w:val="00941D5D"/>
    <w:rsid w:val="00950CD4"/>
    <w:rsid w:val="00952D3B"/>
    <w:rsid w:val="009533AD"/>
    <w:rsid w:val="00957923"/>
    <w:rsid w:val="0096466A"/>
    <w:rsid w:val="00964743"/>
    <w:rsid w:val="00980979"/>
    <w:rsid w:val="00994DE5"/>
    <w:rsid w:val="009A498D"/>
    <w:rsid w:val="009A689F"/>
    <w:rsid w:val="009B61E3"/>
    <w:rsid w:val="009C574B"/>
    <w:rsid w:val="009C674C"/>
    <w:rsid w:val="009D01AD"/>
    <w:rsid w:val="009D1DDA"/>
    <w:rsid w:val="009D4C42"/>
    <w:rsid w:val="009F1F7C"/>
    <w:rsid w:val="009F4D8A"/>
    <w:rsid w:val="00A2212A"/>
    <w:rsid w:val="00A63CE4"/>
    <w:rsid w:val="00A73F28"/>
    <w:rsid w:val="00AC4DFA"/>
    <w:rsid w:val="00AC62B2"/>
    <w:rsid w:val="00AD29A1"/>
    <w:rsid w:val="00B17204"/>
    <w:rsid w:val="00B21603"/>
    <w:rsid w:val="00B243A5"/>
    <w:rsid w:val="00B256F1"/>
    <w:rsid w:val="00B46421"/>
    <w:rsid w:val="00B65A36"/>
    <w:rsid w:val="00BA286C"/>
    <w:rsid w:val="00BB5CAA"/>
    <w:rsid w:val="00BC17AC"/>
    <w:rsid w:val="00BC46AD"/>
    <w:rsid w:val="00BD1502"/>
    <w:rsid w:val="00BE0B7F"/>
    <w:rsid w:val="00C00F21"/>
    <w:rsid w:val="00C03614"/>
    <w:rsid w:val="00C10A2B"/>
    <w:rsid w:val="00C116B7"/>
    <w:rsid w:val="00C24E72"/>
    <w:rsid w:val="00C36452"/>
    <w:rsid w:val="00C40CED"/>
    <w:rsid w:val="00C42992"/>
    <w:rsid w:val="00C4789A"/>
    <w:rsid w:val="00C54ED3"/>
    <w:rsid w:val="00C55F1B"/>
    <w:rsid w:val="00C56872"/>
    <w:rsid w:val="00C663FC"/>
    <w:rsid w:val="00C74095"/>
    <w:rsid w:val="00CA273A"/>
    <w:rsid w:val="00CE7807"/>
    <w:rsid w:val="00D10CF5"/>
    <w:rsid w:val="00D11F44"/>
    <w:rsid w:val="00D3122C"/>
    <w:rsid w:val="00D72A48"/>
    <w:rsid w:val="00D765C2"/>
    <w:rsid w:val="00D8649B"/>
    <w:rsid w:val="00D90F41"/>
    <w:rsid w:val="00DA346D"/>
    <w:rsid w:val="00DB39B3"/>
    <w:rsid w:val="00DC1486"/>
    <w:rsid w:val="00DF16F2"/>
    <w:rsid w:val="00E05D2D"/>
    <w:rsid w:val="00E646C4"/>
    <w:rsid w:val="00E7797B"/>
    <w:rsid w:val="00E86F0B"/>
    <w:rsid w:val="00EA6416"/>
    <w:rsid w:val="00EB405C"/>
    <w:rsid w:val="00EC0821"/>
    <w:rsid w:val="00EC60CD"/>
    <w:rsid w:val="00ED137A"/>
    <w:rsid w:val="00EF4A23"/>
    <w:rsid w:val="00EF7EE8"/>
    <w:rsid w:val="00F03A62"/>
    <w:rsid w:val="00F05274"/>
    <w:rsid w:val="00F14902"/>
    <w:rsid w:val="00F24A27"/>
    <w:rsid w:val="00F312A8"/>
    <w:rsid w:val="00F31D1A"/>
    <w:rsid w:val="00F341A6"/>
    <w:rsid w:val="00F35405"/>
    <w:rsid w:val="00F404FF"/>
    <w:rsid w:val="00F42D87"/>
    <w:rsid w:val="00F43E05"/>
    <w:rsid w:val="00F43E89"/>
    <w:rsid w:val="00F51B15"/>
    <w:rsid w:val="00F51F32"/>
    <w:rsid w:val="00F60506"/>
    <w:rsid w:val="00F60A28"/>
    <w:rsid w:val="00FB30C8"/>
    <w:rsid w:val="00FB3BFA"/>
    <w:rsid w:val="00FD4C48"/>
    <w:rsid w:val="00FD62C4"/>
    <w:rsid w:val="00FF1A81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6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6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6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B17204"/>
    <w:pPr>
      <w:spacing w:before="120" w:line="240" w:lineRule="auto"/>
    </w:pPr>
    <w:rPr>
      <w:b/>
      <w:smallCap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4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4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DE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D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FC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FCC"/>
    <w:rPr>
      <w:rFonts w:ascii="Times New Roman" w:hAnsi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C5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5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9FB"/>
    <w:pPr>
      <w:keepNext/>
      <w:keepLines/>
      <w:numPr>
        <w:numId w:val="6"/>
      </w:numPr>
      <w:pBdr>
        <w:top w:val="single" w:sz="4" w:space="1" w:color="808080" w:themeColor="background1" w:themeShade="80"/>
        <w:bottom w:val="single" w:sz="4" w:space="1" w:color="808080" w:themeColor="background1" w:themeShade="80"/>
      </w:pBdr>
      <w:spacing w:before="480" w:after="240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D8"/>
    <w:pPr>
      <w:keepNext/>
      <w:keepLines/>
      <w:numPr>
        <w:ilvl w:val="1"/>
        <w:numId w:val="6"/>
      </w:numPr>
      <w:spacing w:before="200" w:after="0"/>
      <w:outlineLvl w:val="1"/>
    </w:pPr>
    <w:rPr>
      <w:rFonts w:eastAsiaTheme="majorEastAsia" w:cstheme="majorBidi"/>
      <w:b/>
      <w:bCs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D8"/>
    <w:pPr>
      <w:keepNext/>
      <w:keepLines/>
      <w:numPr>
        <w:ilvl w:val="2"/>
        <w:numId w:val="6"/>
      </w:numPr>
      <w:spacing w:before="200" w:after="0"/>
      <w:outlineLvl w:val="2"/>
    </w:pPr>
    <w:rPr>
      <w:rFonts w:eastAsiaTheme="majorEastAsia" w:cstheme="majorBidi"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D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6D8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6D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6D8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6D8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6D8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9FB"/>
    <w:rPr>
      <w:rFonts w:ascii="Times New Roman" w:eastAsiaTheme="majorEastAsia" w:hAnsi="Times New Roman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6D8"/>
    <w:rPr>
      <w:rFonts w:ascii="Times New Roman" w:eastAsiaTheme="majorEastAsia" w:hAnsi="Times New Roman" w:cstheme="majorBidi"/>
      <w:b/>
      <w:bCs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D8"/>
    <w:rPr>
      <w:rFonts w:ascii="Times New Roman" w:eastAsiaTheme="majorEastAsia" w:hAnsi="Times New Roman" w:cstheme="majorBidi"/>
      <w:bCs/>
      <w:smallCap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6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6D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6D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6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6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B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5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1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51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ill">
    <w:name w:val="Titill"/>
    <w:basedOn w:val="Normal"/>
    <w:qFormat/>
    <w:rsid w:val="00B17204"/>
    <w:pPr>
      <w:spacing w:before="120" w:line="240" w:lineRule="auto"/>
    </w:pPr>
    <w:rPr>
      <w:b/>
      <w:smallCap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4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4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DE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D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4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4FC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FCC"/>
    <w:rPr>
      <w:rFonts w:ascii="Times New Roman" w:hAnsi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C5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ec.europa.eu/environment/ipp/pdf/ipp_voluntary_agree_criteria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nvironment/ipp/pdf/ipp_voluntary_agree_criteria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sr.se/Upphandling/Kriterier/IT-och-telekom/Telefoniprodukter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inn.i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1CDB-628D-486E-8B28-3D0F2902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 ehf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Hulda</cp:lastModifiedBy>
  <cp:revision>7</cp:revision>
  <cp:lastPrinted>2013-09-16T10:38:00Z</cp:lastPrinted>
  <dcterms:created xsi:type="dcterms:W3CDTF">2013-09-16T10:32:00Z</dcterms:created>
  <dcterms:modified xsi:type="dcterms:W3CDTF">2013-09-16T10:39:00Z</dcterms:modified>
</cp:coreProperties>
</file>