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487"/>
        <w:gridCol w:w="1011"/>
        <w:gridCol w:w="1728"/>
      </w:tblGrid>
      <w:tr w:rsidR="00F51B15" w:rsidTr="000A49FB">
        <w:trPr>
          <w:trHeight w:val="680"/>
        </w:trPr>
        <w:tc>
          <w:tcPr>
            <w:tcW w:w="6487" w:type="dxa"/>
            <w:vMerge w:val="restart"/>
            <w:vAlign w:val="center"/>
          </w:tcPr>
          <w:p w:rsidR="00F51B15" w:rsidRPr="000A49FB" w:rsidRDefault="006302AA" w:rsidP="000A49FB">
            <w:pPr>
              <w:pStyle w:val="Titill"/>
            </w:pPr>
            <w:r>
              <w:t>Sápa og hársápa</w:t>
            </w:r>
            <w:r w:rsidR="00F51B15" w:rsidRPr="000A49FB">
              <w:t xml:space="preserve"> - umhverfisskilyrði</w:t>
            </w:r>
          </w:p>
        </w:tc>
        <w:tc>
          <w:tcPr>
            <w:tcW w:w="1011" w:type="dxa"/>
            <w:vAlign w:val="bottom"/>
          </w:tcPr>
          <w:p w:rsidR="00F51B15" w:rsidRDefault="00F51B15">
            <w:r>
              <w:t>Dags.</w:t>
            </w:r>
          </w:p>
        </w:tc>
        <w:tc>
          <w:tcPr>
            <w:tcW w:w="1728" w:type="dxa"/>
            <w:vAlign w:val="bottom"/>
          </w:tcPr>
          <w:p w:rsidR="00F51B15" w:rsidRDefault="00F51B15" w:rsidP="006302AA">
            <w:pPr>
              <w:jc w:val="right"/>
            </w:pPr>
            <w:r>
              <w:t>201</w:t>
            </w:r>
            <w:r w:rsidR="006302AA">
              <w:t>2</w:t>
            </w:r>
            <w:r>
              <w:t>-</w:t>
            </w:r>
            <w:r w:rsidR="006302AA">
              <w:t>08</w:t>
            </w:r>
            <w:r>
              <w:t>-</w:t>
            </w:r>
            <w:r w:rsidR="006302AA">
              <w:t>30</w:t>
            </w:r>
          </w:p>
        </w:tc>
      </w:tr>
      <w:tr w:rsidR="00F51B15" w:rsidTr="000A49FB">
        <w:trPr>
          <w:trHeight w:val="680"/>
        </w:trPr>
        <w:tc>
          <w:tcPr>
            <w:tcW w:w="6487" w:type="dxa"/>
            <w:vMerge/>
            <w:vAlign w:val="center"/>
          </w:tcPr>
          <w:p w:rsidR="00F51B15" w:rsidRDefault="00F51B15"/>
        </w:tc>
        <w:tc>
          <w:tcPr>
            <w:tcW w:w="1011" w:type="dxa"/>
            <w:vAlign w:val="bottom"/>
          </w:tcPr>
          <w:p w:rsidR="00F51B15" w:rsidRDefault="00F51B15">
            <w:r>
              <w:t>Útgáfa</w:t>
            </w:r>
          </w:p>
        </w:tc>
        <w:tc>
          <w:tcPr>
            <w:tcW w:w="1728" w:type="dxa"/>
            <w:vAlign w:val="bottom"/>
          </w:tcPr>
          <w:p w:rsidR="00F51B15" w:rsidRDefault="000A49FB" w:rsidP="006302AA">
            <w:pPr>
              <w:jc w:val="right"/>
            </w:pPr>
            <w:r>
              <w:t>1.</w:t>
            </w:r>
            <w:r w:rsidR="006302AA">
              <w:t>1</w:t>
            </w:r>
          </w:p>
        </w:tc>
      </w:tr>
    </w:tbl>
    <w:p w:rsidR="007566D8" w:rsidRPr="00F51B15" w:rsidRDefault="000A49FB" w:rsidP="00994DE5">
      <w:pPr>
        <w:pStyle w:val="Heading1"/>
        <w:numPr>
          <w:ilvl w:val="0"/>
          <w:numId w:val="0"/>
        </w:numPr>
        <w:ind w:left="431" w:hanging="431"/>
      </w:pPr>
      <w:r>
        <w:t>V</w:t>
      </w:r>
      <w:r w:rsidR="007566D8" w:rsidRPr="00F51B15">
        <w:t>iðfangsefni og gildissvið</w:t>
      </w:r>
    </w:p>
    <w:p w:rsidR="002A0F11" w:rsidRDefault="002A0F11" w:rsidP="002A0F11">
      <w:r>
        <w:t xml:space="preserve">Umhverfisskilyrðin eru sett fram á vegum verkefnisins Vistvæn innkaup sem er samstarfsverkefni ríkis og sveitarfélaga, sjá nánar á </w:t>
      </w:r>
      <w:hyperlink r:id="rId8" w:history="1">
        <w:r w:rsidRPr="00E06B88">
          <w:rPr>
            <w:rStyle w:val="Hyperlink"/>
          </w:rPr>
          <w:t>www.vinn.is</w:t>
        </w:r>
      </w:hyperlink>
      <w:r>
        <w:t xml:space="preserve">. </w:t>
      </w:r>
    </w:p>
    <w:p w:rsidR="006302AA" w:rsidRPr="00D70B31" w:rsidRDefault="006302AA" w:rsidP="006302AA">
      <w:pPr>
        <w:keepLines/>
        <w:widowControl w:val="0"/>
        <w:autoSpaceDE w:val="0"/>
        <w:autoSpaceDN w:val="0"/>
        <w:adjustRightInd w:val="0"/>
        <w:spacing w:before="120"/>
      </w:pPr>
      <w:r w:rsidRPr="00D70B31">
        <w:t>Viðmiðin eru byggð á viðmiðum umhverfismerkja eins og norræna Svaninum</w:t>
      </w:r>
      <w:r>
        <w:t xml:space="preserve"> og </w:t>
      </w:r>
      <w:r w:rsidRPr="00D70B31">
        <w:t>Evrópublóminu</w:t>
      </w:r>
      <w:r>
        <w:t xml:space="preserve">. </w:t>
      </w:r>
      <w:r w:rsidRPr="00D70B31">
        <w:t xml:space="preserve">Sé vara vottuð  með einhverju þessara umhverfismerkja er það </w:t>
      </w:r>
      <w:r>
        <w:t xml:space="preserve">fullnægjandi sönnun á því að </w:t>
      </w:r>
      <w:r w:rsidRPr="00D70B31">
        <w:t>viðmiðin í þessu skjali séu uppfyllt.</w:t>
      </w:r>
    </w:p>
    <w:p w:rsidR="006302AA" w:rsidRDefault="006302AA" w:rsidP="006302AA">
      <w:pPr>
        <w:keepLines/>
        <w:widowControl w:val="0"/>
        <w:autoSpaceDE w:val="0"/>
        <w:autoSpaceDN w:val="0"/>
        <w:adjustRightInd w:val="0"/>
        <w:spacing w:before="120"/>
        <w:jc w:val="center"/>
      </w:pPr>
      <w:r>
        <w:rPr>
          <w:noProof/>
          <w:lang w:eastAsia="is-IS"/>
        </w:rPr>
        <w:drawing>
          <wp:inline distT="0" distB="0" distL="0" distR="0" wp14:anchorId="3C808504" wp14:editId="297BB8FB">
            <wp:extent cx="675058" cy="681487"/>
            <wp:effectExtent l="0" t="0" r="0" b="4445"/>
            <wp:docPr id="4" name="Picture 1" descr="Svansmerki_RGB_enginn-texti_200x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ansmerki_RGB_enginn-texti_200x201"/>
                    <pic:cNvPicPr>
                      <a:picLocks noChangeAspect="1" noChangeArrowheads="1"/>
                    </pic:cNvPicPr>
                  </pic:nvPicPr>
                  <pic:blipFill>
                    <a:blip r:embed="rId9" cstate="print"/>
                    <a:srcRect/>
                    <a:stretch>
                      <a:fillRect/>
                    </a:stretch>
                  </pic:blipFill>
                  <pic:spPr bwMode="auto">
                    <a:xfrm>
                      <a:off x="0" y="0"/>
                      <a:ext cx="675298" cy="681729"/>
                    </a:xfrm>
                    <a:prstGeom prst="rect">
                      <a:avLst/>
                    </a:prstGeom>
                    <a:noFill/>
                    <a:ln w="9525">
                      <a:noFill/>
                      <a:miter lim="800000"/>
                      <a:headEnd/>
                      <a:tailEnd/>
                    </a:ln>
                  </pic:spPr>
                </pic:pic>
              </a:graphicData>
            </a:graphic>
          </wp:inline>
        </w:drawing>
      </w:r>
      <w:r>
        <w:t xml:space="preserve">               </w:t>
      </w:r>
      <w:r>
        <w:rPr>
          <w:noProof/>
          <w:lang w:eastAsia="is-IS"/>
        </w:rPr>
        <w:drawing>
          <wp:inline distT="0" distB="0" distL="0" distR="0" wp14:anchorId="0A743673" wp14:editId="27599546">
            <wp:extent cx="603848" cy="603848"/>
            <wp:effectExtent l="0" t="0" r="6350" b="6350"/>
            <wp:docPr id="3" name="Picture 3" descr="blomid_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mid_250"/>
                    <pic:cNvPicPr>
                      <a:picLocks noChangeAspect="1" noChangeArrowheads="1"/>
                    </pic:cNvPicPr>
                  </pic:nvPicPr>
                  <pic:blipFill>
                    <a:blip r:embed="rId10" cstate="print"/>
                    <a:srcRect/>
                    <a:stretch>
                      <a:fillRect/>
                    </a:stretch>
                  </pic:blipFill>
                  <pic:spPr bwMode="auto">
                    <a:xfrm>
                      <a:off x="0" y="0"/>
                      <a:ext cx="601381" cy="601381"/>
                    </a:xfrm>
                    <a:prstGeom prst="rect">
                      <a:avLst/>
                    </a:prstGeom>
                    <a:noFill/>
                    <a:ln w="9525">
                      <a:noFill/>
                      <a:miter lim="800000"/>
                      <a:headEnd/>
                      <a:tailEnd/>
                    </a:ln>
                  </pic:spPr>
                </pic:pic>
              </a:graphicData>
            </a:graphic>
          </wp:inline>
        </w:drawing>
      </w:r>
      <w:r w:rsidRPr="0009239D">
        <w:rPr>
          <w:noProof/>
          <w:lang w:eastAsia="is-IS"/>
        </w:rPr>
        <w:t xml:space="preserve"> </w:t>
      </w:r>
      <w:r>
        <w:rPr>
          <w:noProof/>
          <w:lang w:eastAsia="is-IS"/>
        </w:rPr>
        <w:t xml:space="preserve">               </w:t>
      </w:r>
    </w:p>
    <w:p w:rsidR="006302AA" w:rsidRDefault="006302AA" w:rsidP="00DA346D"/>
    <w:p w:rsidR="006302AA" w:rsidRDefault="006302AA" w:rsidP="00DA346D">
      <w:r w:rsidRPr="00C51BF2">
        <w:rPr>
          <w:b/>
        </w:rPr>
        <w:t>Umhverfisskilyrðin eiga við um hársápu og sápu í föstu og fljótandi formi til nota í atvinnuskyni.</w:t>
      </w:r>
      <w:r>
        <w:t xml:space="preserve"> Þessi viðmið eiga ekki við um sótthreinsandi sápur. </w:t>
      </w:r>
    </w:p>
    <w:p w:rsidR="006302AA" w:rsidRDefault="006302AA" w:rsidP="00DA346D"/>
    <w:p w:rsidR="00DA346D" w:rsidRDefault="00DA346D" w:rsidP="00DA346D">
      <w:r>
        <w:t>Grunn- og ítarviðmiðin samanstanda af lágmarksskilyrðum og matsviðmiðum:</w:t>
      </w:r>
    </w:p>
    <w:p w:rsidR="00DA346D" w:rsidRDefault="00DA346D" w:rsidP="00DA346D">
      <w:r w:rsidRPr="000B4048">
        <w:rPr>
          <w:b/>
        </w:rPr>
        <w:t>Lágmarksskilyrði</w:t>
      </w:r>
      <w:r>
        <w:t>; eru ófrávíkjanleg skilyrði sem boðin vara eða þjónusta skal uppfylla til að tilboð verði tekið til nánari skoðunar.</w:t>
      </w:r>
    </w:p>
    <w:p w:rsidR="002A0F11" w:rsidRPr="00DD1129" w:rsidRDefault="00DA346D" w:rsidP="00DA346D">
      <w:r w:rsidRPr="000B4048">
        <w:rPr>
          <w:b/>
        </w:rPr>
        <w:t>Matsviðmið</w:t>
      </w:r>
      <w:r>
        <w:t>;</w:t>
      </w:r>
      <w:r w:rsidRPr="00F55608">
        <w:t xml:space="preserve"> </w:t>
      </w:r>
      <w:r>
        <w:t>má nota</w:t>
      </w:r>
      <w:r w:rsidRPr="00DD1129">
        <w:t xml:space="preserve"> ef útboðsaðili vill veita tilboði aukastig sem stendur sig betur en lágmarksskilyrðin segja til um varðandi umhverfis-</w:t>
      </w:r>
      <w:r>
        <w:t xml:space="preserve"> </w:t>
      </w:r>
      <w:r w:rsidRPr="00DD1129">
        <w:t>og gæðaþætti. Í stigamatsgjöf geta matsviðmið fyrir umhverfisþætti veg</w:t>
      </w:r>
      <w:r>
        <w:t>ið 10 til 15% af heildareinkunn</w:t>
      </w:r>
      <w:r w:rsidRPr="00DD1129">
        <w:t>.</w:t>
      </w:r>
      <w:r w:rsidR="002A0F11">
        <w:t xml:space="preserve"> </w:t>
      </w:r>
    </w:p>
    <w:p w:rsidR="007D3928" w:rsidRDefault="007D3928">
      <w:pPr>
        <w:spacing w:after="200"/>
        <w:rPr>
          <w:rFonts w:eastAsiaTheme="majorEastAsia" w:cstheme="majorBidi"/>
          <w:b/>
          <w:bCs/>
          <w:smallCaps/>
          <w:sz w:val="32"/>
          <w:szCs w:val="28"/>
        </w:rPr>
      </w:pPr>
    </w:p>
    <w:p w:rsidR="007566D8" w:rsidRPr="00F51B15" w:rsidRDefault="00F404FF" w:rsidP="007D3928">
      <w:pPr>
        <w:pStyle w:val="Heading1"/>
        <w:numPr>
          <w:ilvl w:val="0"/>
          <w:numId w:val="0"/>
        </w:numPr>
        <w:ind w:left="431" w:hanging="431"/>
      </w:pPr>
      <w:r>
        <w:t>Helstu umhverfisáhrif</w:t>
      </w:r>
    </w:p>
    <w:tbl>
      <w:tblPr>
        <w:tblStyle w:val="TableGrid"/>
        <w:tblW w:w="0" w:type="auto"/>
        <w:tblLook w:val="04A0" w:firstRow="1" w:lastRow="0" w:firstColumn="1" w:lastColumn="0" w:noHBand="0" w:noVBand="1"/>
      </w:tblPr>
      <w:tblGrid>
        <w:gridCol w:w="4777"/>
        <w:gridCol w:w="4511"/>
      </w:tblGrid>
      <w:tr w:rsidR="007D3928" w:rsidTr="00980979">
        <w:tc>
          <w:tcPr>
            <w:tcW w:w="7072" w:type="dxa"/>
          </w:tcPr>
          <w:p w:rsidR="007D3928" w:rsidRDefault="007D3928" w:rsidP="00980979">
            <w:pPr>
              <w:rPr>
                <w:b/>
              </w:rPr>
            </w:pPr>
            <w:r>
              <w:rPr>
                <w:b/>
              </w:rPr>
              <w:t>Helstu umhverfisáhrif</w:t>
            </w:r>
          </w:p>
        </w:tc>
        <w:tc>
          <w:tcPr>
            <w:tcW w:w="7072" w:type="dxa"/>
          </w:tcPr>
          <w:p w:rsidR="007D3928" w:rsidRDefault="007D3928" w:rsidP="00980979">
            <w:pPr>
              <w:rPr>
                <w:b/>
              </w:rPr>
            </w:pPr>
            <w:r>
              <w:rPr>
                <w:b/>
              </w:rPr>
              <w:t>Nálgun (GPP)</w:t>
            </w:r>
          </w:p>
        </w:tc>
      </w:tr>
      <w:tr w:rsidR="007D3928" w:rsidTr="00980979">
        <w:tc>
          <w:tcPr>
            <w:tcW w:w="7072" w:type="dxa"/>
          </w:tcPr>
          <w:p w:rsidR="006302AA" w:rsidRDefault="006302AA" w:rsidP="006302AA">
            <w:pPr>
              <w:pStyle w:val="ListParagraph"/>
              <w:numPr>
                <w:ilvl w:val="0"/>
                <w:numId w:val="17"/>
              </w:numPr>
            </w:pPr>
            <w:r w:rsidRPr="00F43E05">
              <w:rPr>
                <w:i/>
                <w:noProof/>
                <w:lang w:eastAsia="is-IS"/>
              </w:rPr>
              <mc:AlternateContent>
                <mc:Choice Requires="wps">
                  <w:drawing>
                    <wp:anchor distT="0" distB="0" distL="114300" distR="114300" simplePos="0" relativeHeight="251659264" behindDoc="0" locked="0" layoutInCell="1" allowOverlap="1" wp14:anchorId="70148D74" wp14:editId="5F839832">
                      <wp:simplePos x="0" y="0"/>
                      <wp:positionH relativeFrom="column">
                        <wp:posOffset>2749179</wp:posOffset>
                      </wp:positionH>
                      <wp:positionV relativeFrom="paragraph">
                        <wp:posOffset>471781</wp:posOffset>
                      </wp:positionV>
                      <wp:extent cx="448573" cy="396875"/>
                      <wp:effectExtent l="19050" t="19050" r="46990" b="41275"/>
                      <wp:wrapNone/>
                      <wp:docPr id="1" name="Notched 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573" cy="396875"/>
                              </a:xfrm>
                              <a:prstGeom prst="notchedRightArrow">
                                <a:avLst/>
                              </a:prstGeom>
                              <a:solidFill>
                                <a:srgbClr val="92D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 o:spid="_x0000_s1026" type="#_x0000_t94" style="position:absolute;margin-left:216.45pt;margin-top:37.15pt;width:35.3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" adj="12045" fillcolor="#92d050" strokecolor="black [3213]" strokeweight=".25pt">
                      <v:path arrowok="t"/>
                    </v:shape>
                  </w:pict>
                </mc:Fallback>
              </mc:AlternateContent>
            </w:r>
            <w:r w:rsidRPr="001E7021">
              <w:t>Loftmengun, myndun ósons, uppsöfnun óæskileg</w:t>
            </w:r>
            <w:r>
              <w:t>r</w:t>
            </w:r>
            <w:r w:rsidRPr="001E7021">
              <w:t>a efna í lífverum og fæðukeðjunni auk skaðlegra áhrifa á vatnalífverur</w:t>
            </w:r>
          </w:p>
          <w:p w:rsidR="006302AA" w:rsidRDefault="006302AA" w:rsidP="006302AA">
            <w:pPr>
              <w:pStyle w:val="ListParagraph"/>
              <w:numPr>
                <w:ilvl w:val="0"/>
                <w:numId w:val="17"/>
              </w:numPr>
            </w:pPr>
            <w:r w:rsidRPr="001E7021">
              <w:t>Neikvæð áhrif á heilsu starfsfólks vegna skaðleg</w:t>
            </w:r>
            <w:r>
              <w:t>ra</w:t>
            </w:r>
            <w:r w:rsidRPr="001E7021">
              <w:t xml:space="preserve"> efna</w:t>
            </w:r>
          </w:p>
          <w:p w:rsidR="007D3928" w:rsidRPr="006302AA" w:rsidRDefault="006302AA" w:rsidP="006302AA">
            <w:pPr>
              <w:pStyle w:val="ListParagraph"/>
              <w:numPr>
                <w:ilvl w:val="0"/>
                <w:numId w:val="17"/>
              </w:numPr>
              <w:rPr>
                <w:rFonts w:cs="Times New Roman"/>
                <w:i/>
                <w:szCs w:val="24"/>
              </w:rPr>
            </w:pPr>
            <w:r>
              <w:t>Ú</w:t>
            </w:r>
            <w:r w:rsidRPr="001E7021">
              <w:t>rgangur</w:t>
            </w:r>
            <w:bookmarkStart w:id="0" w:name="_GoBack"/>
            <w:bookmarkEnd w:id="0"/>
          </w:p>
        </w:tc>
        <w:tc>
          <w:tcPr>
            <w:tcW w:w="7072" w:type="dxa"/>
          </w:tcPr>
          <w:p w:rsidR="006302AA" w:rsidRDefault="006302AA" w:rsidP="006302AA">
            <w:pPr>
              <w:pStyle w:val="ListParagraph"/>
              <w:numPr>
                <w:ilvl w:val="0"/>
                <w:numId w:val="17"/>
              </w:numPr>
            </w:pPr>
            <w:r w:rsidRPr="001E7021">
              <w:t>Forðast óþarfa notkun sápu</w:t>
            </w:r>
          </w:p>
          <w:p w:rsidR="006302AA" w:rsidRDefault="006302AA" w:rsidP="006302AA">
            <w:pPr>
              <w:pStyle w:val="ListParagraph"/>
              <w:numPr>
                <w:ilvl w:val="0"/>
                <w:numId w:val="17"/>
              </w:numPr>
            </w:pPr>
            <w:r w:rsidRPr="001E7021">
              <w:t>Forðast notkun sápu sem innih</w:t>
            </w:r>
            <w:r>
              <w:t>e</w:t>
            </w:r>
            <w:r w:rsidRPr="001E7021">
              <w:t>ld</w:t>
            </w:r>
            <w:r>
              <w:t>ur</w:t>
            </w:r>
            <w:r w:rsidRPr="001E7021">
              <w:t xml:space="preserve"> tiltekin efni</w:t>
            </w:r>
          </w:p>
          <w:p w:rsidR="007D3928" w:rsidRPr="006302AA" w:rsidRDefault="006302AA" w:rsidP="006302AA">
            <w:pPr>
              <w:pStyle w:val="ListParagraph"/>
              <w:numPr>
                <w:ilvl w:val="0"/>
                <w:numId w:val="17"/>
              </w:numPr>
              <w:rPr>
                <w:rFonts w:cs="Times New Roman"/>
                <w:i/>
                <w:szCs w:val="24"/>
              </w:rPr>
            </w:pPr>
            <w:r w:rsidRPr="001E7021">
              <w:t>Draga úr notkun umbúða, tryggja að mögulegt sé að endurnota umbúðir eða endurvinna þær</w:t>
            </w:r>
          </w:p>
        </w:tc>
      </w:tr>
    </w:tbl>
    <w:p w:rsidR="00F404FF" w:rsidRDefault="006302AA" w:rsidP="00F404FF">
      <w:pPr>
        <w:pStyle w:val="Heading1"/>
      </w:pPr>
      <w:r>
        <w:lastRenderedPageBreak/>
        <w:t>Sápa og hársápa</w:t>
      </w:r>
    </w:p>
    <w:tbl>
      <w:tblPr>
        <w:tblStyle w:val="TableGrid1"/>
        <w:tblW w:w="9180" w:type="dxa"/>
        <w:tblLayout w:type="fixed"/>
        <w:tblLook w:val="04A0" w:firstRow="1" w:lastRow="0" w:firstColumn="1" w:lastColumn="0" w:noHBand="0" w:noVBand="1"/>
      </w:tblPr>
      <w:tblGrid>
        <w:gridCol w:w="9180"/>
      </w:tblGrid>
      <w:tr w:rsidR="006302AA" w:rsidRPr="00994DE5" w:rsidTr="006302AA">
        <w:tc>
          <w:tcPr>
            <w:tcW w:w="9180" w:type="dxa"/>
            <w:shd w:val="clear" w:color="auto" w:fill="FFFF00"/>
          </w:tcPr>
          <w:p w:rsidR="006302AA" w:rsidRPr="00B17204" w:rsidRDefault="006302AA" w:rsidP="00B17204">
            <w:pPr>
              <w:pStyle w:val="Titill"/>
            </w:pPr>
            <w:r w:rsidRPr="00B17204">
              <w:t>Grunnviðmið</w:t>
            </w:r>
          </w:p>
        </w:tc>
      </w:tr>
      <w:tr w:rsidR="006302AA" w:rsidRPr="00994DE5" w:rsidTr="006302AA">
        <w:tc>
          <w:tcPr>
            <w:tcW w:w="9180" w:type="dxa"/>
            <w:shd w:val="clear" w:color="auto" w:fill="92D050"/>
          </w:tcPr>
          <w:p w:rsidR="006302AA" w:rsidRPr="00994DE5" w:rsidRDefault="006302AA" w:rsidP="00994DE5">
            <w:pPr>
              <w:spacing w:line="276" w:lineRule="auto"/>
              <w:rPr>
                <w:b/>
              </w:rPr>
            </w:pPr>
            <w:r w:rsidRPr="00994DE5">
              <w:rPr>
                <w:b/>
              </w:rPr>
              <w:t>LÁGMARKSSKILYRÐI</w:t>
            </w:r>
          </w:p>
        </w:tc>
      </w:tr>
      <w:tr w:rsidR="006302AA" w:rsidRPr="00994DE5" w:rsidTr="006302AA">
        <w:tc>
          <w:tcPr>
            <w:tcW w:w="9180" w:type="dxa"/>
          </w:tcPr>
          <w:p w:rsidR="008B4440" w:rsidRPr="00331F8B" w:rsidRDefault="00331F8B" w:rsidP="00331F8B">
            <w:pPr>
              <w:pStyle w:val="ListParagraph"/>
              <w:numPr>
                <w:ilvl w:val="0"/>
                <w:numId w:val="26"/>
              </w:numPr>
              <w:rPr>
                <w:b/>
              </w:rPr>
            </w:pPr>
            <w:r>
              <w:rPr>
                <w:b/>
              </w:rPr>
              <w:t>Y</w:t>
            </w:r>
            <w:r w:rsidR="008B4440" w:rsidRPr="00331F8B">
              <w:rPr>
                <w:b/>
              </w:rPr>
              <w:t>firborðsvirk efn</w:t>
            </w:r>
            <w:r>
              <w:rPr>
                <w:b/>
              </w:rPr>
              <w:t>i</w:t>
            </w:r>
            <w:r w:rsidR="006302AA" w:rsidRPr="00331F8B">
              <w:rPr>
                <w:b/>
              </w:rPr>
              <w:t xml:space="preserve"> </w:t>
            </w:r>
          </w:p>
          <w:p w:rsidR="006302AA" w:rsidRPr="00B17204" w:rsidRDefault="006302AA" w:rsidP="00994DE5">
            <w:pPr>
              <w:spacing w:line="276" w:lineRule="auto"/>
              <w:rPr>
                <w:i/>
              </w:rPr>
            </w:pPr>
            <w:r w:rsidRPr="006C5207">
              <w:t>Öll yfirborðsvirk efni sem notuð eru í vörunni skulu brotna auðveldlega niður í umhverfinu.</w:t>
            </w:r>
          </w:p>
        </w:tc>
      </w:tr>
      <w:tr w:rsidR="006302AA" w:rsidRPr="00994DE5" w:rsidTr="006302AA">
        <w:tc>
          <w:tcPr>
            <w:tcW w:w="9180" w:type="dxa"/>
          </w:tcPr>
          <w:p w:rsidR="008B4440" w:rsidRDefault="00BA7E9F" w:rsidP="00DC0D3F">
            <w:pPr>
              <w:pStyle w:val="Bulletpoints"/>
              <w:numPr>
                <w:ilvl w:val="0"/>
                <w:numId w:val="26"/>
              </w:numPr>
            </w:pPr>
            <w:r>
              <w:t xml:space="preserve">Magn </w:t>
            </w:r>
            <w:r w:rsidR="00331F8B">
              <w:t>þrávirkra</w:t>
            </w:r>
            <w:r>
              <w:t xml:space="preserve"> efna</w:t>
            </w:r>
          </w:p>
          <w:p w:rsidR="006302AA" w:rsidRPr="00321E53" w:rsidRDefault="006302AA" w:rsidP="00DC0D3F">
            <w:r w:rsidRPr="00321E53">
              <w:t>Þau efni vörunnar sem brotna ekki auðveldlega niður (eða slíkur eiginleiki hefur ekki verði prófaður við loftháðar aðstæður) skulu ekki vera í meira magni en hér segir</w:t>
            </w:r>
            <w:r>
              <w:t>:</w:t>
            </w:r>
          </w:p>
          <w:p w:rsidR="006302AA" w:rsidRPr="00321E53" w:rsidRDefault="006302AA" w:rsidP="006302AA">
            <w:pPr>
              <w:pStyle w:val="ListParagraph"/>
              <w:numPr>
                <w:ilvl w:val="0"/>
                <w:numId w:val="18"/>
              </w:numPr>
              <w:spacing w:before="120" w:line="280" w:lineRule="exact"/>
              <w:rPr>
                <w:szCs w:val="24"/>
              </w:rPr>
            </w:pPr>
            <w:r w:rsidRPr="00321E53">
              <w:rPr>
                <w:szCs w:val="24"/>
              </w:rPr>
              <w:t>Hársápa, sturtuvörur og sápa á fljótandi formi: Að hámarki 30 mg/g virkra efni</w:t>
            </w:r>
          </w:p>
          <w:p w:rsidR="006302AA" w:rsidRPr="00321E53" w:rsidRDefault="006302AA" w:rsidP="006302AA">
            <w:pPr>
              <w:pStyle w:val="ListParagraph"/>
              <w:numPr>
                <w:ilvl w:val="0"/>
                <w:numId w:val="18"/>
              </w:numPr>
              <w:spacing w:before="120" w:line="280" w:lineRule="exact"/>
              <w:rPr>
                <w:szCs w:val="24"/>
              </w:rPr>
            </w:pPr>
            <w:r w:rsidRPr="00321E53">
              <w:rPr>
                <w:szCs w:val="24"/>
              </w:rPr>
              <w:t>Sápa í föstu formi: að hámarki 15 mg/g virkra efna</w:t>
            </w:r>
          </w:p>
          <w:p w:rsidR="006302AA" w:rsidRDefault="006302AA" w:rsidP="006302AA">
            <w:pPr>
              <w:pStyle w:val="ListParagraph"/>
              <w:numPr>
                <w:ilvl w:val="0"/>
                <w:numId w:val="18"/>
              </w:numPr>
              <w:spacing w:before="120" w:line="280" w:lineRule="exact"/>
              <w:rPr>
                <w:szCs w:val="24"/>
              </w:rPr>
            </w:pPr>
            <w:r w:rsidRPr="00321E53">
              <w:rPr>
                <w:szCs w:val="24"/>
              </w:rPr>
              <w:t>Hárnæring: Að hámarki 50 mg/g virkra efna</w:t>
            </w:r>
          </w:p>
          <w:p w:rsidR="006302AA" w:rsidRDefault="006302AA" w:rsidP="006302AA">
            <w:pPr>
              <w:spacing w:before="120" w:line="280" w:lineRule="exact"/>
            </w:pPr>
            <w:r w:rsidRPr="006C5207">
              <w:t>Hér eru virk efni (Active Content) skilgreind sem hlutfallsleg þyngd lífrænna efna í vörunni. Sú þyngd skal  reiknuð út frá heildarefnasamsetningu vörunnar. Núningsefni/svarfefni í handhreinsiefnum eru undanskilin í útreikningum á virkum efnum.</w:t>
            </w:r>
          </w:p>
          <w:p w:rsidR="006302AA" w:rsidRPr="00B17204" w:rsidRDefault="006302AA" w:rsidP="006302AA">
            <w:pPr>
              <w:spacing w:line="276" w:lineRule="auto"/>
              <w:rPr>
                <w:rFonts w:cs="Times New Roman"/>
                <w:i/>
                <w:szCs w:val="24"/>
              </w:rPr>
            </w:pPr>
            <w:r>
              <w:t>Ö</w:t>
            </w:r>
            <w:r w:rsidRPr="006C5207">
              <w:t>ll efni vörunnar (efni eða efnablöndur) sem vega meira en 0,01% af heildarþyngd vörunnar skal skoða. Hér er átt við um öll efni í efnablöndu sem er notuð í efnasamsetningu</w:t>
            </w:r>
            <w:r>
              <w:t xml:space="preserve"> </w:t>
            </w:r>
            <w:r w:rsidRPr="006C5207">
              <w:t xml:space="preserve">vörunnar og vega yfir 0,01% af lokaþyngd </w:t>
            </w:r>
            <w:r>
              <w:t>hennar.</w:t>
            </w:r>
          </w:p>
        </w:tc>
      </w:tr>
      <w:tr w:rsidR="006302AA" w:rsidRPr="00994DE5" w:rsidTr="006302AA">
        <w:tc>
          <w:tcPr>
            <w:tcW w:w="9180" w:type="dxa"/>
          </w:tcPr>
          <w:p w:rsidR="00BA7E9F" w:rsidRPr="00331F8B" w:rsidRDefault="00BA7E9F" w:rsidP="00331F8B">
            <w:pPr>
              <w:pStyle w:val="ListParagraph"/>
              <w:numPr>
                <w:ilvl w:val="0"/>
                <w:numId w:val="26"/>
              </w:numPr>
              <w:rPr>
                <w:b/>
              </w:rPr>
            </w:pPr>
            <w:r w:rsidRPr="00331F8B">
              <w:rPr>
                <w:b/>
              </w:rPr>
              <w:t>Ilmefni</w:t>
            </w:r>
          </w:p>
          <w:p w:rsidR="006302AA" w:rsidRPr="00B17204" w:rsidRDefault="006302AA" w:rsidP="00994DE5">
            <w:pPr>
              <w:rPr>
                <w:rFonts w:cs="Times New Roman"/>
                <w:i/>
                <w:szCs w:val="24"/>
              </w:rPr>
            </w:pPr>
            <w:r>
              <w:t>Ilmefnum</w:t>
            </w:r>
            <w:r w:rsidRPr="00AB2682">
              <w:t xml:space="preserve"> sem </w:t>
            </w:r>
            <w:r>
              <w:t xml:space="preserve">bætt </w:t>
            </w:r>
            <w:r w:rsidRPr="00AB2682">
              <w:t xml:space="preserve">er </w:t>
            </w:r>
            <w:r>
              <w:t>við vöruna skulu</w:t>
            </w:r>
            <w:r w:rsidRPr="00AB2682">
              <w:t xml:space="preserve"> </w:t>
            </w:r>
            <w:r>
              <w:t>vera</w:t>
            </w:r>
            <w:r w:rsidRPr="00AB2682">
              <w:t xml:space="preserve"> framleidd, meðhöndluð og notuð samkvæmt starfsreglum Alþjóðlegu ilmefnasamtakanna</w:t>
            </w:r>
            <w:r>
              <w:t xml:space="preserve"> (IFRA)</w:t>
            </w:r>
            <w:r w:rsidRPr="00AB2682">
              <w:t>.</w:t>
            </w:r>
          </w:p>
        </w:tc>
      </w:tr>
      <w:tr w:rsidR="006302AA" w:rsidRPr="00994DE5" w:rsidTr="006302AA">
        <w:tc>
          <w:tcPr>
            <w:tcW w:w="9180" w:type="dxa"/>
          </w:tcPr>
          <w:p w:rsidR="00331F8B" w:rsidRPr="00331F8B" w:rsidRDefault="00331F8B" w:rsidP="00331F8B">
            <w:pPr>
              <w:pStyle w:val="ListParagraph"/>
              <w:numPr>
                <w:ilvl w:val="0"/>
                <w:numId w:val="26"/>
              </w:numPr>
              <w:spacing w:before="120" w:line="280" w:lineRule="exact"/>
              <w:rPr>
                <w:b/>
              </w:rPr>
            </w:pPr>
            <w:r w:rsidRPr="00331F8B">
              <w:rPr>
                <w:b/>
              </w:rPr>
              <w:t>Lífræn litarefni</w:t>
            </w:r>
          </w:p>
          <w:p w:rsidR="006302AA" w:rsidRDefault="006302AA" w:rsidP="006302AA">
            <w:pPr>
              <w:spacing w:before="120" w:line="280" w:lineRule="exact"/>
            </w:pPr>
            <w:r w:rsidRPr="005E569B">
              <w:t xml:space="preserve">Lífrænir leysilitir eða litarefni </w:t>
            </w:r>
            <w:r>
              <w:t>skulu</w:t>
            </w:r>
            <w:r w:rsidRPr="005E569B">
              <w:t xml:space="preserve"> ekki geta safnast fyrir í lífverum. </w:t>
            </w:r>
            <w:r>
              <w:t>L</w:t>
            </w:r>
            <w:r w:rsidRPr="005E569B">
              <w:t xml:space="preserve">eysilitirnir eða litarefnin </w:t>
            </w:r>
            <w:r>
              <w:t xml:space="preserve">eru </w:t>
            </w:r>
            <w:r w:rsidRPr="005E569B">
              <w:t xml:space="preserve">talin geta safnast fyrir í lífverum ef tilraunir sýna að lífþéttnistuðullinn (BCF) &gt; 100.  </w:t>
            </w:r>
          </w:p>
          <w:p w:rsidR="006302AA" w:rsidRDefault="006302AA" w:rsidP="006302AA">
            <w:pPr>
              <w:spacing w:before="120" w:line="280" w:lineRule="exact"/>
            </w:pPr>
            <w:r w:rsidRPr="005E569B">
              <w:t xml:space="preserve">Ef niðurstöður úr BCF tilraunum eru ekki </w:t>
            </w:r>
            <w:r>
              <w:t>fyrir hendi</w:t>
            </w:r>
            <w:r w:rsidRPr="005E569B">
              <w:t>, er hægt að athuga uppsöfnun í lífverum með logP</w:t>
            </w:r>
            <w:r w:rsidRPr="00AB2682">
              <w:rPr>
                <w:vertAlign w:val="subscript"/>
              </w:rPr>
              <w:t>ov</w:t>
            </w:r>
            <w:r w:rsidRPr="005E569B">
              <w:t xml:space="preserve"> (log oktanól/vatn deilistuðull). </w:t>
            </w:r>
          </w:p>
          <w:p w:rsidR="006302AA" w:rsidRPr="00B17204" w:rsidRDefault="006302AA" w:rsidP="006302AA">
            <w:pPr>
              <w:tabs>
                <w:tab w:val="left" w:pos="3084"/>
              </w:tabs>
              <w:rPr>
                <w:rFonts w:cs="Times New Roman"/>
                <w:i/>
                <w:szCs w:val="24"/>
              </w:rPr>
            </w:pPr>
            <w:r w:rsidRPr="005E569B">
              <w:t>Ef logP</w:t>
            </w:r>
            <w:r w:rsidRPr="00AB2682">
              <w:rPr>
                <w:vertAlign w:val="subscript"/>
              </w:rPr>
              <w:t>ov</w:t>
            </w:r>
            <w:r w:rsidRPr="005E569B">
              <w:t xml:space="preserve"> er &gt; 3,0, eru leysilitirnir eða litarefnið talin geta safnast fyrir í lífverum.</w:t>
            </w:r>
          </w:p>
        </w:tc>
      </w:tr>
      <w:tr w:rsidR="006302AA" w:rsidRPr="00994DE5" w:rsidTr="006302AA">
        <w:tc>
          <w:tcPr>
            <w:tcW w:w="9180" w:type="dxa"/>
          </w:tcPr>
          <w:p w:rsidR="00331F8B" w:rsidRPr="00331F8B" w:rsidRDefault="00331F8B" w:rsidP="00331F8B">
            <w:pPr>
              <w:pStyle w:val="ListParagraph"/>
              <w:numPr>
                <w:ilvl w:val="0"/>
                <w:numId w:val="26"/>
              </w:numPr>
              <w:rPr>
                <w:b/>
              </w:rPr>
            </w:pPr>
            <w:r>
              <w:rPr>
                <w:b/>
              </w:rPr>
              <w:t>Sæfiefni</w:t>
            </w:r>
          </w:p>
          <w:p w:rsidR="006302AA" w:rsidRPr="00B17204" w:rsidRDefault="006302AA" w:rsidP="00994DE5">
            <w:pPr>
              <w:rPr>
                <w:rFonts w:cs="Times New Roman"/>
                <w:i/>
                <w:szCs w:val="24"/>
              </w:rPr>
            </w:pPr>
            <w:r w:rsidRPr="005E569B">
              <w:t>Sæfiefni sem eru ýmist hluti af efnasamsetningunni eða hluti af efn</w:t>
            </w:r>
            <w:r>
              <w:t>a</w:t>
            </w:r>
            <w:r w:rsidRPr="005E569B">
              <w:t>blöndu sem efnasamsetningin inniheldur, og eru nýtt til þess að varðveita vöruna og uppfylla viðmiðanir fyrir flokkun með H50-53 eða H51-53 hættusetningar í samræmi við tilskipun 67/548/EEC eða tilskipun 1999/45/EC sem settar voru fram af Evrópuþinginu og Evrópusambandinu</w:t>
            </w:r>
            <w:r>
              <w:t>,</w:t>
            </w:r>
            <w:r w:rsidRPr="005E569B">
              <w:t xml:space="preserve"> eru eingöngu leyfilegar ef þær geta ekki safnast fyrir í lífverum. </w:t>
            </w:r>
            <w:r>
              <w:t>S</w:t>
            </w:r>
            <w:r w:rsidRPr="005E569B">
              <w:t xml:space="preserve">æfiefni </w:t>
            </w:r>
            <w:r>
              <w:t>er talið</w:t>
            </w:r>
            <w:r w:rsidRPr="005E569B">
              <w:t xml:space="preserve"> geta safnast fyrir í lífverum ef lí</w:t>
            </w:r>
            <w:r>
              <w:t>fþéttnistuðull þess er &gt; 100, Ef l</w:t>
            </w:r>
            <w:r w:rsidRPr="005E569B">
              <w:t xml:space="preserve">ífþéttnistuðull er </w:t>
            </w:r>
            <w:r>
              <w:t>fyrir hendi</w:t>
            </w:r>
            <w:r w:rsidRPr="005E569B">
              <w:t xml:space="preserve"> er logP</w:t>
            </w:r>
            <w:r w:rsidRPr="006C5207">
              <w:rPr>
                <w:vertAlign w:val="subscript"/>
              </w:rPr>
              <w:t>ov</w:t>
            </w:r>
            <w:r w:rsidRPr="005E569B">
              <w:t xml:space="preserve"> (log oktanól/vatn deilistuðull) &gt; 3,0.</w:t>
            </w:r>
          </w:p>
        </w:tc>
      </w:tr>
      <w:tr w:rsidR="006302AA" w:rsidRPr="00994DE5" w:rsidTr="006302AA">
        <w:tc>
          <w:tcPr>
            <w:tcW w:w="9180" w:type="dxa"/>
          </w:tcPr>
          <w:p w:rsidR="00331F8B" w:rsidRPr="00331F8B" w:rsidRDefault="00331F8B" w:rsidP="00331F8B">
            <w:pPr>
              <w:pStyle w:val="ListParagraph"/>
              <w:numPr>
                <w:ilvl w:val="0"/>
                <w:numId w:val="26"/>
              </w:numPr>
              <w:tabs>
                <w:tab w:val="left" w:pos="3369"/>
              </w:tabs>
              <w:rPr>
                <w:rFonts w:cs="Times New Roman"/>
                <w:b/>
                <w:szCs w:val="24"/>
              </w:rPr>
            </w:pPr>
            <w:r w:rsidRPr="00331F8B">
              <w:rPr>
                <w:rFonts w:cs="Times New Roman"/>
                <w:b/>
                <w:szCs w:val="24"/>
              </w:rPr>
              <w:t>Rotvarnarefni</w:t>
            </w:r>
          </w:p>
          <w:p w:rsidR="006302AA" w:rsidRPr="00B17204" w:rsidRDefault="006302AA" w:rsidP="006302AA">
            <w:pPr>
              <w:tabs>
                <w:tab w:val="left" w:pos="3369"/>
              </w:tabs>
              <w:rPr>
                <w:rFonts w:cs="Times New Roman"/>
                <w:i/>
                <w:szCs w:val="24"/>
              </w:rPr>
            </w:pPr>
            <w:r w:rsidRPr="005E569B">
              <w:t xml:space="preserve">Rotvarnarefni </w:t>
            </w:r>
            <w:r>
              <w:t xml:space="preserve">í vörunni </w:t>
            </w:r>
            <w:r w:rsidRPr="005E569B">
              <w:t xml:space="preserve">skulu ekki losa frá sér efni sem eru flokkuð samkvæmt viðmiði 8a í </w:t>
            </w:r>
            <w:r w:rsidRPr="005E569B">
              <w:lastRenderedPageBreak/>
              <w:t>viðmiðanaskjali Evrópublómsins fyrir sápur, hársápur eða hárnæringu (2007/506/EC).</w:t>
            </w:r>
          </w:p>
        </w:tc>
      </w:tr>
      <w:tr w:rsidR="006302AA" w:rsidRPr="00994DE5" w:rsidTr="006302AA">
        <w:tc>
          <w:tcPr>
            <w:tcW w:w="9180" w:type="dxa"/>
          </w:tcPr>
          <w:p w:rsidR="00331F8B" w:rsidRPr="00331F8B" w:rsidRDefault="00331F8B" w:rsidP="00331F8B">
            <w:pPr>
              <w:pStyle w:val="ListParagraph"/>
              <w:numPr>
                <w:ilvl w:val="0"/>
                <w:numId w:val="26"/>
              </w:numPr>
              <w:rPr>
                <w:b/>
              </w:rPr>
            </w:pPr>
            <w:r>
              <w:rPr>
                <w:b/>
              </w:rPr>
              <w:lastRenderedPageBreak/>
              <w:t xml:space="preserve">Heilsuspillandi </w:t>
            </w:r>
            <w:r w:rsidRPr="00331F8B">
              <w:rPr>
                <w:b/>
              </w:rPr>
              <w:t>efni</w:t>
            </w:r>
          </w:p>
          <w:p w:rsidR="00BB5B9C" w:rsidRDefault="00BB5B9C" w:rsidP="00331F8B">
            <w:pPr>
              <w:rPr>
                <w:szCs w:val="24"/>
              </w:rPr>
            </w:pPr>
            <w:r>
              <w:t>Eftirfarandi skilyrði á við öll</w:t>
            </w:r>
            <w:r w:rsidRPr="00331F8B">
              <w:t xml:space="preserve"> efni (efni eða efnablöndur) sem </w:t>
            </w:r>
            <w:r>
              <w:t>eru meira en</w:t>
            </w:r>
            <w:r w:rsidRPr="00331F8B">
              <w:t xml:space="preserve"> 0,01% af lokaþyngd vörunnar</w:t>
            </w:r>
            <w:r>
              <w:t xml:space="preserve">, ásamt </w:t>
            </w:r>
            <w:r w:rsidRPr="005E569B">
              <w:t>efn</w:t>
            </w:r>
            <w:r>
              <w:t>um</w:t>
            </w:r>
            <w:r w:rsidRPr="005E569B">
              <w:t xml:space="preserve"> </w:t>
            </w:r>
            <w:r>
              <w:t xml:space="preserve">og </w:t>
            </w:r>
            <w:r w:rsidRPr="005E569B">
              <w:t>efnablöndu</w:t>
            </w:r>
            <w:r>
              <w:t>m</w:t>
            </w:r>
            <w:r w:rsidRPr="005E569B">
              <w:t xml:space="preserve"> sem not</w:t>
            </w:r>
            <w:r>
              <w:t>aðar eru</w:t>
            </w:r>
            <w:r w:rsidRPr="005E569B">
              <w:t xml:space="preserve"> efnasamsetningunni og </w:t>
            </w:r>
            <w:r>
              <w:t xml:space="preserve">eru meira en </w:t>
            </w:r>
            <w:r w:rsidRPr="005E569B">
              <w:t>0,01% af lokaþyngd vörunnar.</w:t>
            </w:r>
            <w:r w:rsidRPr="006C5207">
              <w:rPr>
                <w:szCs w:val="24"/>
              </w:rPr>
              <w:t xml:space="preserve"> </w:t>
            </w:r>
          </w:p>
          <w:p w:rsidR="006302AA" w:rsidRDefault="006302AA" w:rsidP="00331F8B">
            <w:pPr>
              <w:rPr>
                <w:szCs w:val="24"/>
              </w:rPr>
            </w:pPr>
            <w:r w:rsidRPr="006C5207">
              <w:rPr>
                <w:szCs w:val="24"/>
              </w:rPr>
              <w:t>Ekkert efni vörunnar skal flokkast sem krabbameinsvaldandi efni, stökkbreytandi efni eða að það hafi skaðleg áhrif á æxlun.  Þetta á einnig við um reglur um eigin flokkun III (self-classification class III).</w:t>
            </w:r>
          </w:p>
          <w:p w:rsidR="006302AA" w:rsidRDefault="006302AA" w:rsidP="006302AA">
            <w:pPr>
              <w:pStyle w:val="Bulletpoints2"/>
              <w:numPr>
                <w:ilvl w:val="0"/>
                <w:numId w:val="21"/>
              </w:numPr>
              <w:spacing w:before="120" w:after="120" w:line="280" w:lineRule="exact"/>
              <w:rPr>
                <w:sz w:val="24"/>
                <w:szCs w:val="24"/>
                <w:lang w:val="is-IS"/>
              </w:rPr>
            </w:pPr>
            <w:r w:rsidRPr="006C5207">
              <w:rPr>
                <w:sz w:val="24"/>
                <w:szCs w:val="24"/>
                <w:lang w:val="is-IS"/>
              </w:rPr>
              <w:t>Varan skal ekki innihalda eftirfarandi efni, hvorki sem hluti af efnasamsetningunni né sem hluti af efn</w:t>
            </w:r>
            <w:r w:rsidR="00BB5B9C">
              <w:rPr>
                <w:sz w:val="24"/>
                <w:szCs w:val="24"/>
                <w:lang w:val="is-IS"/>
              </w:rPr>
              <w:t>a</w:t>
            </w:r>
            <w:r w:rsidRPr="006C5207">
              <w:rPr>
                <w:sz w:val="24"/>
                <w:szCs w:val="24"/>
                <w:lang w:val="is-IS"/>
              </w:rPr>
              <w:t>blöndu sem efnasamsetningin inniheldur:</w:t>
            </w:r>
          </w:p>
          <w:p w:rsidR="006302AA" w:rsidRDefault="006302AA" w:rsidP="006302AA">
            <w:pPr>
              <w:pStyle w:val="Bulletpoints3"/>
              <w:numPr>
                <w:ilvl w:val="0"/>
                <w:numId w:val="22"/>
              </w:numPr>
              <w:spacing w:before="120" w:after="120" w:line="280" w:lineRule="exact"/>
              <w:rPr>
                <w:sz w:val="24"/>
                <w:szCs w:val="24"/>
                <w:lang w:val="is-IS"/>
              </w:rPr>
            </w:pPr>
            <w:r w:rsidRPr="006C5207">
              <w:rPr>
                <w:sz w:val="24"/>
                <w:szCs w:val="24"/>
                <w:lang w:val="is-IS"/>
              </w:rPr>
              <w:t xml:space="preserve">alkýlfenóletoxýlat (APEOs) og aðrar alkýlfenólafleiður </w:t>
            </w:r>
          </w:p>
          <w:p w:rsidR="006302AA" w:rsidRDefault="006302AA" w:rsidP="006302AA">
            <w:pPr>
              <w:pStyle w:val="Bulletpoints3"/>
              <w:numPr>
                <w:ilvl w:val="0"/>
                <w:numId w:val="22"/>
              </w:numPr>
              <w:spacing w:before="120" w:after="120" w:line="280" w:lineRule="exact"/>
              <w:rPr>
                <w:sz w:val="24"/>
                <w:szCs w:val="24"/>
                <w:lang w:val="is-IS"/>
              </w:rPr>
            </w:pPr>
            <w:r w:rsidRPr="006C5207">
              <w:rPr>
                <w:sz w:val="24"/>
                <w:szCs w:val="24"/>
                <w:lang w:val="is-IS"/>
              </w:rPr>
              <w:t>NTA (nítrílótríasetat)</w:t>
            </w:r>
          </w:p>
          <w:p w:rsidR="006302AA" w:rsidRDefault="006302AA" w:rsidP="006302AA">
            <w:pPr>
              <w:pStyle w:val="Bulletpoints3"/>
              <w:numPr>
                <w:ilvl w:val="0"/>
                <w:numId w:val="22"/>
              </w:numPr>
              <w:spacing w:before="120" w:after="120" w:line="280" w:lineRule="exact"/>
              <w:rPr>
                <w:sz w:val="24"/>
                <w:szCs w:val="24"/>
                <w:lang w:val="is-IS"/>
              </w:rPr>
            </w:pPr>
            <w:r w:rsidRPr="006C5207">
              <w:rPr>
                <w:sz w:val="24"/>
                <w:szCs w:val="24"/>
                <w:lang w:val="is-IS"/>
              </w:rPr>
              <w:t>Bórsýra, bórat og perbórat</w:t>
            </w:r>
          </w:p>
          <w:p w:rsidR="006302AA" w:rsidRDefault="006302AA" w:rsidP="006302AA">
            <w:pPr>
              <w:pStyle w:val="Bulletpoints3"/>
              <w:numPr>
                <w:ilvl w:val="0"/>
                <w:numId w:val="22"/>
              </w:numPr>
              <w:spacing w:before="120" w:after="120" w:line="280" w:lineRule="exact"/>
              <w:rPr>
                <w:sz w:val="24"/>
                <w:szCs w:val="24"/>
                <w:lang w:val="is-IS"/>
              </w:rPr>
            </w:pPr>
            <w:r w:rsidRPr="006C5207">
              <w:rPr>
                <w:sz w:val="24"/>
                <w:szCs w:val="24"/>
                <w:lang w:val="is-IS"/>
              </w:rPr>
              <w:t>Nítrómuskus og fjölhringa muskusefni</w:t>
            </w:r>
          </w:p>
          <w:p w:rsidR="00BB5B9C" w:rsidRDefault="006302AA" w:rsidP="00BB5B9C">
            <w:r w:rsidRPr="00DC0D3F">
              <w:t>Etýlendíamíntetraasetat (EDTA) og sölt þess og fosfónöt sem ekki brotna auðveldlega niður má eingöngu bæta í sápur í föstu formi og magnið má að hámarki vera 0,6 mg/g virkra efna.</w:t>
            </w:r>
            <w:r w:rsidR="00BB5B9C">
              <w:t xml:space="preserve"> </w:t>
            </w:r>
          </w:p>
          <w:p w:rsidR="006302AA" w:rsidRPr="00BB5B9C" w:rsidRDefault="006302AA" w:rsidP="00DC0D3F">
            <w:pPr>
              <w:rPr>
                <w:szCs w:val="24"/>
              </w:rPr>
            </w:pPr>
          </w:p>
        </w:tc>
      </w:tr>
      <w:tr w:rsidR="006302AA" w:rsidRPr="00994DE5" w:rsidTr="006302AA">
        <w:tc>
          <w:tcPr>
            <w:tcW w:w="9180" w:type="dxa"/>
          </w:tcPr>
          <w:p w:rsidR="00331F8B" w:rsidRPr="00331F8B" w:rsidRDefault="00331F8B" w:rsidP="00DC0D3F">
            <w:pPr>
              <w:pStyle w:val="Bulletpoints"/>
              <w:numPr>
                <w:ilvl w:val="0"/>
                <w:numId w:val="26"/>
              </w:numPr>
            </w:pPr>
            <w:r>
              <w:t>Þyngd u</w:t>
            </w:r>
            <w:r w:rsidRPr="00331F8B">
              <w:t>mbúð</w:t>
            </w:r>
            <w:r>
              <w:t>a</w:t>
            </w:r>
          </w:p>
          <w:p w:rsidR="006302AA" w:rsidRPr="00DC0D3F" w:rsidRDefault="006302AA" w:rsidP="00DC0D3F">
            <w:r w:rsidRPr="00DC0D3F">
              <w:t>Umbúðir skulu uppfylla eftirfarandi skilyrði:</w:t>
            </w:r>
          </w:p>
          <w:p w:rsidR="006302AA" w:rsidRPr="00DC0D3F" w:rsidRDefault="006302AA" w:rsidP="00DC0D3F">
            <w:r w:rsidRPr="00DC0D3F">
              <w:t>Samband þyngdar og innihalds (WCR) skal miðast við að umbúðirnar séu léttari en 0,3 g að þyngd miðað við hvert gramm af þyngd vörunnar og er það reiknað út eins og hér sýnir.</w:t>
            </w:r>
          </w:p>
          <w:p w:rsidR="006302AA" w:rsidRPr="005E569B" w:rsidRDefault="006302AA" w:rsidP="006302AA">
            <w:pPr>
              <w:pStyle w:val="Bulletpointsteksti"/>
              <w:spacing w:line="280" w:lineRule="exact"/>
              <w:rPr>
                <w:lang w:val="is-IS"/>
              </w:rPr>
            </w:pPr>
            <w:r w:rsidRPr="005E569B">
              <w:rPr>
                <w:lang w:val="is-IS"/>
              </w:rPr>
              <w:t>WCR= ∑ ((W</w:t>
            </w:r>
            <w:r w:rsidRPr="005E569B">
              <w:rPr>
                <w:vertAlign w:val="subscript"/>
                <w:lang w:val="is-IS"/>
              </w:rPr>
              <w:t xml:space="preserve">i </w:t>
            </w:r>
            <w:r w:rsidRPr="005E569B">
              <w:rPr>
                <w:lang w:val="is-IS"/>
              </w:rPr>
              <w:t>+ N</w:t>
            </w:r>
            <w:r w:rsidRPr="005E569B">
              <w:rPr>
                <w:vertAlign w:val="subscript"/>
                <w:lang w:val="is-IS"/>
              </w:rPr>
              <w:t>i</w:t>
            </w:r>
            <w:r w:rsidRPr="005E569B">
              <w:rPr>
                <w:lang w:val="is-IS"/>
              </w:rPr>
              <w:t>)/(D</w:t>
            </w:r>
            <w:r w:rsidRPr="005E569B">
              <w:rPr>
                <w:vertAlign w:val="subscript"/>
                <w:lang w:val="is-IS"/>
              </w:rPr>
              <w:t>i</w:t>
            </w:r>
            <w:r w:rsidRPr="005E569B">
              <w:rPr>
                <w:lang w:val="is-IS"/>
              </w:rPr>
              <w:t xml:space="preserve"> </w:t>
            </w:r>
            <w:r>
              <w:rPr>
                <w:lang w:val="is-IS"/>
              </w:rPr>
              <w:t>*</w:t>
            </w:r>
            <w:r w:rsidRPr="005E569B">
              <w:rPr>
                <w:lang w:val="is-IS"/>
              </w:rPr>
              <w:t xml:space="preserve"> r))</w:t>
            </w:r>
          </w:p>
          <w:p w:rsidR="006302AA" w:rsidRPr="005E569B" w:rsidRDefault="006302AA" w:rsidP="006302AA">
            <w:pPr>
              <w:pStyle w:val="Bulletpointsteksti"/>
              <w:spacing w:line="280" w:lineRule="exact"/>
              <w:rPr>
                <w:lang w:val="is-IS"/>
              </w:rPr>
            </w:pPr>
            <w:r w:rsidRPr="005E569B">
              <w:rPr>
                <w:lang w:val="is-IS"/>
              </w:rPr>
              <w:t xml:space="preserve">Þar sem: </w:t>
            </w:r>
          </w:p>
          <w:p w:rsidR="006302AA" w:rsidRDefault="006302AA" w:rsidP="006302AA">
            <w:pPr>
              <w:pStyle w:val="Bulletpoints2"/>
              <w:numPr>
                <w:ilvl w:val="0"/>
                <w:numId w:val="23"/>
              </w:numPr>
              <w:spacing w:before="120" w:after="120" w:line="280" w:lineRule="exact"/>
              <w:rPr>
                <w:sz w:val="24"/>
                <w:szCs w:val="24"/>
                <w:lang w:val="is-IS"/>
              </w:rPr>
            </w:pPr>
            <w:r w:rsidRPr="006C5207">
              <w:rPr>
                <w:sz w:val="24"/>
                <w:szCs w:val="24"/>
                <w:lang w:val="is-IS"/>
              </w:rPr>
              <w:t>W</w:t>
            </w:r>
            <w:r w:rsidRPr="006C5207">
              <w:rPr>
                <w:sz w:val="24"/>
                <w:szCs w:val="24"/>
                <w:vertAlign w:val="subscript"/>
                <w:lang w:val="is-IS"/>
              </w:rPr>
              <w:t>i</w:t>
            </w:r>
            <w:r w:rsidRPr="006C5207">
              <w:rPr>
                <w:sz w:val="24"/>
                <w:szCs w:val="24"/>
                <w:lang w:val="is-IS"/>
              </w:rPr>
              <w:t xml:space="preserve"> = þyngd (í grömmum) umbúðaeiningarinnar </w:t>
            </w:r>
            <w:r w:rsidRPr="006C5207">
              <w:rPr>
                <w:i/>
                <w:sz w:val="24"/>
                <w:szCs w:val="24"/>
                <w:lang w:val="is-IS"/>
              </w:rPr>
              <w:t>i</w:t>
            </w:r>
            <w:r w:rsidRPr="006C5207">
              <w:rPr>
                <w:sz w:val="24"/>
                <w:szCs w:val="24"/>
                <w:lang w:val="is-IS"/>
              </w:rPr>
              <w:t xml:space="preserve"> (hér er vísað til bæði innri og ytri umbúða) að öllum merkingum meðtöldum.</w:t>
            </w:r>
          </w:p>
          <w:p w:rsidR="006302AA" w:rsidRDefault="006302AA" w:rsidP="006302AA">
            <w:pPr>
              <w:pStyle w:val="Bulletpoints2"/>
              <w:numPr>
                <w:ilvl w:val="0"/>
                <w:numId w:val="23"/>
              </w:numPr>
              <w:spacing w:before="120" w:after="120" w:line="280" w:lineRule="exact"/>
              <w:rPr>
                <w:sz w:val="24"/>
                <w:szCs w:val="24"/>
                <w:lang w:val="is-IS"/>
              </w:rPr>
            </w:pPr>
            <w:r w:rsidRPr="006C5207">
              <w:rPr>
                <w:sz w:val="24"/>
                <w:szCs w:val="24"/>
                <w:lang w:val="is-IS"/>
              </w:rPr>
              <w:t>N</w:t>
            </w:r>
            <w:r w:rsidRPr="006C5207">
              <w:rPr>
                <w:sz w:val="24"/>
                <w:szCs w:val="24"/>
                <w:vertAlign w:val="subscript"/>
                <w:lang w:val="is-IS"/>
              </w:rPr>
              <w:t>i</w:t>
            </w:r>
            <w:r w:rsidRPr="006C5207">
              <w:rPr>
                <w:sz w:val="24"/>
                <w:szCs w:val="24"/>
                <w:lang w:val="is-IS"/>
              </w:rPr>
              <w:t xml:space="preserve"> = þyngd (í grömmum) umbúðaeiningarinnar sem er úr nýju efni í stað endurunninna efna (hér vísað til bæði innri og ytri umbúða). Ef umbúðaeiningin innheldur engin endurunninn efni þá er Ni = Wi.</w:t>
            </w:r>
          </w:p>
          <w:p w:rsidR="006302AA" w:rsidRDefault="006302AA" w:rsidP="006302AA">
            <w:pPr>
              <w:pStyle w:val="Bulletpoints2"/>
              <w:numPr>
                <w:ilvl w:val="0"/>
                <w:numId w:val="23"/>
              </w:numPr>
              <w:spacing w:before="120" w:after="120" w:line="280" w:lineRule="exact"/>
              <w:rPr>
                <w:sz w:val="24"/>
                <w:szCs w:val="24"/>
                <w:lang w:val="is-IS"/>
              </w:rPr>
            </w:pPr>
            <w:r w:rsidRPr="006C5207">
              <w:rPr>
                <w:sz w:val="24"/>
                <w:szCs w:val="24"/>
                <w:lang w:val="is-IS"/>
              </w:rPr>
              <w:t>D</w:t>
            </w:r>
            <w:r w:rsidRPr="006C5207">
              <w:rPr>
                <w:sz w:val="24"/>
                <w:szCs w:val="24"/>
                <w:vertAlign w:val="subscript"/>
                <w:lang w:val="is-IS"/>
              </w:rPr>
              <w:t>i</w:t>
            </w:r>
            <w:r w:rsidRPr="006C5207">
              <w:rPr>
                <w:sz w:val="24"/>
                <w:szCs w:val="24"/>
                <w:lang w:val="is-IS"/>
              </w:rPr>
              <w:t xml:space="preserve"> = þyngd vörunnar (sem umbúðaeining innheldur) í grömmum.</w:t>
            </w:r>
          </w:p>
          <w:p w:rsidR="006302AA" w:rsidRPr="00B17204" w:rsidRDefault="006302AA" w:rsidP="006302AA">
            <w:pPr>
              <w:rPr>
                <w:rFonts w:cs="Times New Roman"/>
                <w:i/>
                <w:szCs w:val="24"/>
              </w:rPr>
            </w:pPr>
            <w:r w:rsidRPr="006C5207">
              <w:rPr>
                <w:i/>
                <w:szCs w:val="24"/>
              </w:rPr>
              <w:t xml:space="preserve">r </w:t>
            </w:r>
            <w:r w:rsidRPr="006C5207">
              <w:rPr>
                <w:szCs w:val="24"/>
              </w:rPr>
              <w:t>= Endurnýtingarhlutfallið, eða fjöldi skipta sem umbúðaeininguna má kerfisbundið endurnýta með sama notagildi í huga (í áfylling eða endurnotkun) (</w:t>
            </w:r>
            <w:r w:rsidRPr="006C5207">
              <w:rPr>
                <w:i/>
                <w:szCs w:val="24"/>
              </w:rPr>
              <w:t>r</w:t>
            </w:r>
            <w:r w:rsidRPr="006C5207">
              <w:rPr>
                <w:szCs w:val="24"/>
              </w:rPr>
              <w:t xml:space="preserve"> = 1 ef engin endurnýting á sér stað). Ef umbúðirnar eru endurnýtanlegar þá fær </w:t>
            </w:r>
            <w:r w:rsidRPr="006C5207">
              <w:rPr>
                <w:i/>
                <w:szCs w:val="24"/>
              </w:rPr>
              <w:t>r</w:t>
            </w:r>
            <w:r w:rsidRPr="006C5207">
              <w:rPr>
                <w:szCs w:val="24"/>
              </w:rPr>
              <w:t xml:space="preserve"> gildið 20 fyrir plast og 10 fyrir bylgjupappír nema umsækjandinn geti sýnt fram á skjalfest hærra gildi.</w:t>
            </w:r>
          </w:p>
        </w:tc>
      </w:tr>
      <w:tr w:rsidR="006302AA" w:rsidRPr="00994DE5" w:rsidTr="00BA7E9F">
        <w:tc>
          <w:tcPr>
            <w:tcW w:w="9180" w:type="dxa"/>
            <w:vAlign w:val="center"/>
          </w:tcPr>
          <w:p w:rsidR="00331F8B" w:rsidRPr="00331F8B" w:rsidRDefault="00331F8B" w:rsidP="00331F8B">
            <w:pPr>
              <w:pStyle w:val="ListParagraph"/>
              <w:numPr>
                <w:ilvl w:val="0"/>
                <w:numId w:val="26"/>
              </w:numPr>
              <w:spacing w:before="120" w:line="280" w:lineRule="exact"/>
              <w:rPr>
                <w:b/>
              </w:rPr>
            </w:pPr>
            <w:r w:rsidRPr="00331F8B">
              <w:rPr>
                <w:b/>
              </w:rPr>
              <w:t>Plastefni í umbúðum</w:t>
            </w:r>
          </w:p>
          <w:p w:rsidR="006302AA" w:rsidRPr="00331F8B" w:rsidRDefault="00331F8B" w:rsidP="00331F8B">
            <w:pPr>
              <w:spacing w:before="120" w:line="280" w:lineRule="exact"/>
            </w:pPr>
            <w:r>
              <w:t>E</w:t>
            </w:r>
            <w:r w:rsidR="006302AA" w:rsidRPr="00B118D3">
              <w:t>fni úr plasti í grunnumbúðum skal vera merkt samkvæmt DIN 6120, 2. hluta eða samsvarandi mælikvarða svo auðkenna megi og flokka mismunandi hluta af umbúðunum til endurvinnslu. Hylki og dælur eru undanþegin þessu skilyrði.</w:t>
            </w:r>
          </w:p>
        </w:tc>
      </w:tr>
      <w:tr w:rsidR="006302AA" w:rsidRPr="00994DE5" w:rsidTr="006302AA">
        <w:tc>
          <w:tcPr>
            <w:tcW w:w="9180" w:type="dxa"/>
          </w:tcPr>
          <w:p w:rsidR="00331F8B" w:rsidRPr="00DC0D3F" w:rsidRDefault="00DC0D3F" w:rsidP="00DC0D3F">
            <w:pPr>
              <w:pStyle w:val="Bulletpoints"/>
              <w:numPr>
                <w:ilvl w:val="0"/>
                <w:numId w:val="26"/>
              </w:numPr>
            </w:pPr>
            <w:r>
              <w:lastRenderedPageBreak/>
              <w:t>U</w:t>
            </w:r>
            <w:r w:rsidRPr="00DC0D3F">
              <w:t>mbúð</w:t>
            </w:r>
            <w:r>
              <w:t>ir og skömmtun</w:t>
            </w:r>
          </w:p>
          <w:p w:rsidR="006302AA" w:rsidRPr="00DC0D3F" w:rsidRDefault="006302AA" w:rsidP="00DC0D3F">
            <w:r w:rsidRPr="00DC0D3F">
              <w:t>Umbúðir skulu vera hannaðar með það í huga að auðvelt sé að ákvarða hæfilega skömmtun, t.d. með því að ganga úr skugga um að opið á umbúðunum sé ekki of stórt.</w:t>
            </w:r>
          </w:p>
        </w:tc>
      </w:tr>
      <w:tr w:rsidR="006302AA" w:rsidRPr="00994DE5" w:rsidTr="006302AA">
        <w:tc>
          <w:tcPr>
            <w:tcW w:w="9180" w:type="dxa"/>
          </w:tcPr>
          <w:p w:rsidR="00DC0D3F" w:rsidRDefault="00DC0D3F" w:rsidP="00DC0D3F">
            <w:pPr>
              <w:pStyle w:val="Bulletpoints"/>
              <w:numPr>
                <w:ilvl w:val="0"/>
                <w:numId w:val="26"/>
              </w:numPr>
            </w:pPr>
            <w:r>
              <w:t>Innihaldsefni umbúða</w:t>
            </w:r>
          </w:p>
          <w:p w:rsidR="006302AA" w:rsidRPr="00DC0D3F" w:rsidRDefault="006302AA" w:rsidP="00DC0D3F">
            <w:r w:rsidRPr="00DC0D3F">
              <w:t xml:space="preserve">Umbúðirnar skulu ekki innihalda íblöndunarefni sem innihalda kadmíum, kvikasilfur eða efnasambönd með þessum efnum. Þær </w:t>
            </w:r>
            <w:r w:rsidR="00DC0D3F">
              <w:t>skulu</w:t>
            </w:r>
            <w:r w:rsidRPr="00DC0D3F">
              <w:t xml:space="preserve"> ekki innihalda íblöndunarefni sem uppfylla ekki viðmið 8 í viðmiðunarskjali Evrópusambandsblómsins fyrir sápur, hársápur og hárnæringar (2007/506/EC).</w:t>
            </w:r>
          </w:p>
        </w:tc>
      </w:tr>
      <w:tr w:rsidR="006302AA" w:rsidRPr="00994DE5" w:rsidTr="006302AA">
        <w:tc>
          <w:tcPr>
            <w:tcW w:w="9180" w:type="dxa"/>
          </w:tcPr>
          <w:p w:rsidR="00DC0D3F" w:rsidRDefault="00DC0D3F" w:rsidP="00DC0D3F">
            <w:pPr>
              <w:pStyle w:val="Bulletpoints"/>
              <w:numPr>
                <w:ilvl w:val="0"/>
                <w:numId w:val="26"/>
              </w:numPr>
            </w:pPr>
            <w:r>
              <w:t>PVC í umbúðum</w:t>
            </w:r>
          </w:p>
          <w:p w:rsidR="006302AA" w:rsidRDefault="006302AA" w:rsidP="00BA7E9F">
            <w:pPr>
              <w:spacing w:before="120" w:line="280" w:lineRule="exact"/>
              <w:rPr>
                <w:lang w:eastAsia="da-DK" w:bidi="hi-IN"/>
              </w:rPr>
            </w:pPr>
            <w:r w:rsidRPr="003720B3">
              <w:rPr>
                <w:lang w:eastAsia="da-DK" w:bidi="hi-IN"/>
              </w:rPr>
              <w:t xml:space="preserve">Umbúðir skulu ekki innihalda pólývínýlklóríð </w:t>
            </w:r>
            <w:r w:rsidR="00331F8B">
              <w:rPr>
                <w:lang w:eastAsia="da-DK" w:bidi="hi-IN"/>
              </w:rPr>
              <w:t>(</w:t>
            </w:r>
            <w:r w:rsidRPr="003720B3">
              <w:t>PVC</w:t>
            </w:r>
            <w:r w:rsidR="00331F8B">
              <w:t>)</w:t>
            </w:r>
            <w:r w:rsidRPr="003720B3">
              <w:t xml:space="preserve"> </w:t>
            </w:r>
            <w:r w:rsidRPr="003720B3">
              <w:rPr>
                <w:lang w:eastAsia="da-DK" w:bidi="hi-IN"/>
              </w:rPr>
              <w:t>eða plastefni úr öðrum tegundum klóraðra efna.</w:t>
            </w:r>
          </w:p>
          <w:p w:rsidR="006302AA" w:rsidRDefault="006302AA" w:rsidP="00BA7E9F">
            <w:pPr>
              <w:spacing w:before="120" w:line="280" w:lineRule="exact"/>
              <w:rPr>
                <w:b/>
              </w:rPr>
            </w:pPr>
            <w:r>
              <w:rPr>
                <w:b/>
                <w:lang w:eastAsia="da-DK" w:bidi="hi-IN"/>
              </w:rPr>
              <w:t xml:space="preserve">Staðfesting: </w:t>
            </w:r>
            <w:r>
              <w:rPr>
                <w:lang w:eastAsia="da-DK" w:bidi="hi-IN"/>
              </w:rPr>
              <w:t>Viðmið er uppfyllt ef birgi leggur fram undirritaða yfirlýsingu þar að lútandi. Gert er ráð fyrir að kaupandi sannreyni hvort viðmið sé uppfyllt á samningstímabilinu og hann beiti viðeigandi viðurlögum ef viðmið er ekki uppfyllt.</w:t>
            </w:r>
          </w:p>
        </w:tc>
      </w:tr>
      <w:tr w:rsidR="006302AA" w:rsidRPr="00994DE5" w:rsidTr="006302AA">
        <w:tc>
          <w:tcPr>
            <w:tcW w:w="9180" w:type="dxa"/>
            <w:shd w:val="clear" w:color="auto" w:fill="92D050"/>
          </w:tcPr>
          <w:p w:rsidR="006302AA" w:rsidRPr="00994DE5" w:rsidRDefault="006302AA" w:rsidP="00994DE5">
            <w:pPr>
              <w:spacing w:line="276" w:lineRule="auto"/>
              <w:rPr>
                <w:rFonts w:cs="Times New Roman"/>
                <w:szCs w:val="24"/>
              </w:rPr>
            </w:pPr>
            <w:r w:rsidRPr="00994DE5">
              <w:rPr>
                <w:b/>
              </w:rPr>
              <w:t>MATSVIÐMIÐ</w:t>
            </w:r>
          </w:p>
        </w:tc>
      </w:tr>
      <w:tr w:rsidR="006302AA" w:rsidRPr="00994DE5" w:rsidTr="00331F8B">
        <w:trPr>
          <w:trHeight w:val="1047"/>
        </w:trPr>
        <w:tc>
          <w:tcPr>
            <w:tcW w:w="9180" w:type="dxa"/>
          </w:tcPr>
          <w:p w:rsidR="00DC0D3F" w:rsidRPr="00DC0D3F" w:rsidRDefault="00DC0D3F" w:rsidP="00DC0D3F">
            <w:pPr>
              <w:pStyle w:val="ListParagraph"/>
              <w:numPr>
                <w:ilvl w:val="0"/>
                <w:numId w:val="28"/>
              </w:numPr>
              <w:rPr>
                <w:b/>
              </w:rPr>
            </w:pPr>
            <w:r w:rsidRPr="00DC0D3F">
              <w:rPr>
                <w:b/>
              </w:rPr>
              <w:t>Umhverfismerki</w:t>
            </w:r>
          </w:p>
          <w:p w:rsidR="006302AA" w:rsidRPr="006302AA" w:rsidRDefault="006302AA" w:rsidP="00DC0D3F">
            <w:r w:rsidRPr="00C207D9">
              <w:t xml:space="preserve">Varan þarf að uppfylla skilyrði viðurkennds umhverfismerkis (Tegund I), svo sem norræna Svansins, </w:t>
            </w:r>
            <w:r>
              <w:t xml:space="preserve">eða </w:t>
            </w:r>
            <w:r w:rsidRPr="00C207D9">
              <w:t>Evrópublómsins</w:t>
            </w:r>
            <w:r>
              <w:t>.</w:t>
            </w:r>
            <w:r w:rsidRPr="00C207D9">
              <w:t>. Sé þessu skilyrði fullnægt fær bjóðandi fullt hús stiga fyrir matsviðmið og þarf ekki að gera frekari grein  fyrir öðrum  matsviðmiðum.</w:t>
            </w:r>
          </w:p>
        </w:tc>
      </w:tr>
      <w:tr w:rsidR="006302AA" w:rsidRPr="00994DE5" w:rsidTr="006302AA">
        <w:trPr>
          <w:trHeight w:val="850"/>
        </w:trPr>
        <w:tc>
          <w:tcPr>
            <w:tcW w:w="9180" w:type="dxa"/>
          </w:tcPr>
          <w:p w:rsidR="00DC0D3F" w:rsidRPr="00DC0D3F" w:rsidRDefault="00DC0D3F" w:rsidP="00DC0D3F">
            <w:pPr>
              <w:pStyle w:val="ListParagraph"/>
              <w:numPr>
                <w:ilvl w:val="0"/>
                <w:numId w:val="28"/>
              </w:numPr>
              <w:rPr>
                <w:b/>
              </w:rPr>
            </w:pPr>
            <w:r w:rsidRPr="00DC0D3F">
              <w:rPr>
                <w:b/>
              </w:rPr>
              <w:t>Heilsuspillandi efni</w:t>
            </w:r>
          </w:p>
          <w:p w:rsidR="006302AA" w:rsidRDefault="006302AA" w:rsidP="006302AA">
            <w:r w:rsidRPr="006C5207">
              <w:t xml:space="preserve">Varan </w:t>
            </w:r>
            <w:r w:rsidR="00DC0D3F">
              <w:t>skal ekki innihalda</w:t>
            </w:r>
            <w:r w:rsidRPr="006C5207">
              <w:t xml:space="preserve"> eftirfarandi </w:t>
            </w:r>
            <w:r w:rsidR="00DC0D3F">
              <w:t xml:space="preserve">hættusetningar </w:t>
            </w:r>
            <w:r w:rsidRPr="006C5207">
              <w:t>samkvæmt tilskipun 67/548/EEC:</w:t>
            </w:r>
          </w:p>
          <w:p w:rsidR="006302AA" w:rsidRDefault="006302AA" w:rsidP="006302AA">
            <w:pPr>
              <w:pStyle w:val="ListParagraph"/>
              <w:numPr>
                <w:ilvl w:val="0"/>
                <w:numId w:val="18"/>
              </w:numPr>
              <w:spacing w:after="200"/>
              <w:rPr>
                <w:szCs w:val="24"/>
              </w:rPr>
            </w:pPr>
            <w:r w:rsidRPr="006C5207">
              <w:rPr>
                <w:szCs w:val="24"/>
              </w:rPr>
              <w:t>N, H50/53: (WR50/53/25 %) ≥ 1</w:t>
            </w:r>
          </w:p>
          <w:p w:rsidR="006302AA" w:rsidRDefault="006302AA" w:rsidP="006302AA">
            <w:pPr>
              <w:pStyle w:val="ListParagraph"/>
              <w:numPr>
                <w:ilvl w:val="0"/>
                <w:numId w:val="18"/>
              </w:numPr>
              <w:spacing w:after="200"/>
              <w:rPr>
                <w:szCs w:val="24"/>
              </w:rPr>
            </w:pPr>
            <w:r w:rsidRPr="006C5207">
              <w:rPr>
                <w:szCs w:val="24"/>
              </w:rPr>
              <w:t>N, H51/53: ((WR50/53/2.5 %) + (WR51/53/25 %)) ≥ 1</w:t>
            </w:r>
          </w:p>
          <w:p w:rsidR="006302AA" w:rsidRDefault="006302AA" w:rsidP="006302AA">
            <w:pPr>
              <w:pStyle w:val="ListParagraph"/>
              <w:numPr>
                <w:ilvl w:val="0"/>
                <w:numId w:val="18"/>
              </w:numPr>
              <w:spacing w:after="200"/>
              <w:rPr>
                <w:szCs w:val="24"/>
              </w:rPr>
            </w:pPr>
            <w:r w:rsidRPr="006C5207">
              <w:rPr>
                <w:szCs w:val="24"/>
              </w:rPr>
              <w:t>H52/53: ((WR50/53/0.25 %) + (WR51/53/2.5 %) + (WR52/53/25 %)) ≥ 1</w:t>
            </w:r>
          </w:p>
          <w:p w:rsidR="006302AA" w:rsidRDefault="006302AA" w:rsidP="006302AA">
            <w:r w:rsidRPr="006C5207">
              <w:t xml:space="preserve"> Þar sem:</w:t>
            </w:r>
          </w:p>
          <w:p w:rsidR="006302AA" w:rsidRDefault="006302AA" w:rsidP="006302AA">
            <w:pPr>
              <w:pStyle w:val="ListParagraph"/>
              <w:numPr>
                <w:ilvl w:val="0"/>
                <w:numId w:val="18"/>
              </w:numPr>
              <w:spacing w:after="200"/>
              <w:rPr>
                <w:szCs w:val="24"/>
              </w:rPr>
            </w:pPr>
            <w:r w:rsidRPr="006C5207">
              <w:rPr>
                <w:szCs w:val="24"/>
              </w:rPr>
              <w:t>WR50/53 = þyngdarhlutfall innihalds (miðað við þyngd) sem má flokka sem H50/53</w:t>
            </w:r>
          </w:p>
          <w:p w:rsidR="006302AA" w:rsidRDefault="006302AA" w:rsidP="006302AA">
            <w:pPr>
              <w:pStyle w:val="ListParagraph"/>
              <w:numPr>
                <w:ilvl w:val="0"/>
                <w:numId w:val="18"/>
              </w:numPr>
              <w:spacing w:after="200" w:line="280" w:lineRule="exact"/>
              <w:ind w:left="357" w:hanging="357"/>
              <w:rPr>
                <w:szCs w:val="24"/>
              </w:rPr>
            </w:pPr>
            <w:r w:rsidRPr="006C5207">
              <w:rPr>
                <w:szCs w:val="24"/>
              </w:rPr>
              <w:t xml:space="preserve">WR51/53 = þyngdarhlutfall innihalds (miðað við þyngd) sem má flokka sem H51/53 </w:t>
            </w:r>
          </w:p>
          <w:p w:rsidR="006302AA" w:rsidRDefault="006302AA" w:rsidP="006302AA">
            <w:pPr>
              <w:pStyle w:val="ListParagraph"/>
              <w:numPr>
                <w:ilvl w:val="0"/>
                <w:numId w:val="18"/>
              </w:numPr>
              <w:spacing w:after="200"/>
              <w:rPr>
                <w:szCs w:val="24"/>
              </w:rPr>
            </w:pPr>
            <w:r w:rsidRPr="006C5207">
              <w:rPr>
                <w:szCs w:val="24"/>
              </w:rPr>
              <w:t xml:space="preserve">WR52/53 = þyngdarhlutfall innihalds (miðað við </w:t>
            </w:r>
            <w:r>
              <w:rPr>
                <w:szCs w:val="24"/>
              </w:rPr>
              <w:t>þyngd) sem má flokka sem H52/53</w:t>
            </w:r>
          </w:p>
          <w:p w:rsidR="006302AA" w:rsidRPr="00B17204" w:rsidRDefault="006302AA" w:rsidP="006302AA">
            <w:pPr>
              <w:spacing w:line="276" w:lineRule="auto"/>
              <w:rPr>
                <w:i/>
              </w:rPr>
            </w:pPr>
            <w:r w:rsidRPr="00520E0F">
              <w:rPr>
                <w:szCs w:val="24"/>
              </w:rPr>
              <w:t>Núningsefni eða svarfefni í handhreinsiefnum eru undanskilin.</w:t>
            </w:r>
          </w:p>
        </w:tc>
      </w:tr>
      <w:tr w:rsidR="006302AA" w:rsidRPr="00994DE5" w:rsidTr="006302AA">
        <w:trPr>
          <w:trHeight w:val="850"/>
        </w:trPr>
        <w:tc>
          <w:tcPr>
            <w:tcW w:w="9180" w:type="dxa"/>
          </w:tcPr>
          <w:p w:rsidR="00DC0D3F" w:rsidRPr="00DC0D3F" w:rsidRDefault="00DC0D3F" w:rsidP="00DC0D3F">
            <w:pPr>
              <w:pStyle w:val="Bulletpoints"/>
              <w:numPr>
                <w:ilvl w:val="0"/>
                <w:numId w:val="28"/>
              </w:numPr>
            </w:pPr>
            <w:r w:rsidRPr="00DC0D3F">
              <w:t>Torleyst efni</w:t>
            </w:r>
          </w:p>
          <w:p w:rsidR="006302AA" w:rsidRDefault="006302AA" w:rsidP="00DC0D3F">
            <w:r w:rsidRPr="005E569B">
              <w:t xml:space="preserve">Þau efni </w:t>
            </w:r>
            <w:r>
              <w:t xml:space="preserve">vörunnar </w:t>
            </w:r>
            <w:r w:rsidRPr="005E569B">
              <w:t xml:space="preserve">sem </w:t>
            </w:r>
            <w:r>
              <w:t xml:space="preserve">brotna ekki auðveldlega niður (eða slíkur eiginleiki hefur ekki verði </w:t>
            </w:r>
            <w:r w:rsidRPr="005E569B">
              <w:t xml:space="preserve">prófaður við loftháðar aðstæður) </w:t>
            </w:r>
            <w:r w:rsidRPr="00AB2682">
              <w:t xml:space="preserve">) og eru með lægstu bráða eiturhrif LC50 eða EC50 &lt; 100 mg/l (sambærilegt við flokkunarmörk H52 í </w:t>
            </w:r>
            <w:r w:rsidRPr="00AB2682">
              <w:rPr>
                <w:lang w:eastAsia="is-IS"/>
              </w:rPr>
              <w:t xml:space="preserve">reglugerð nr. 236/1990) </w:t>
            </w:r>
            <w:r>
              <w:rPr>
                <w:lang w:eastAsia="is-IS"/>
              </w:rPr>
              <w:t>skulu</w:t>
            </w:r>
            <w:r w:rsidRPr="00AB2682">
              <w:rPr>
                <w:lang w:eastAsia="is-IS"/>
              </w:rPr>
              <w:t xml:space="preserve"> ekki fara yfir neðangreind m</w:t>
            </w:r>
            <w:r w:rsidRPr="00AB2682">
              <w:t>örk</w:t>
            </w:r>
            <w:r w:rsidRPr="005E569B">
              <w:t>:</w:t>
            </w:r>
          </w:p>
          <w:p w:rsidR="006302AA" w:rsidRDefault="006302AA" w:rsidP="006302AA">
            <w:pPr>
              <w:pStyle w:val="ListParagraph"/>
              <w:numPr>
                <w:ilvl w:val="0"/>
                <w:numId w:val="18"/>
              </w:numPr>
              <w:spacing w:before="120" w:line="280" w:lineRule="exact"/>
              <w:rPr>
                <w:szCs w:val="24"/>
              </w:rPr>
            </w:pPr>
            <w:r w:rsidRPr="006C5207">
              <w:rPr>
                <w:szCs w:val="24"/>
              </w:rPr>
              <w:t>Hársápur, sturtuvörur og sápur í fljótandi formi: Að hámarki 25 mg/g virkra efna</w:t>
            </w:r>
          </w:p>
          <w:p w:rsidR="006302AA" w:rsidRDefault="006302AA" w:rsidP="006302AA">
            <w:pPr>
              <w:pStyle w:val="ListParagraph"/>
              <w:numPr>
                <w:ilvl w:val="0"/>
                <w:numId w:val="18"/>
              </w:numPr>
              <w:spacing w:before="120" w:line="280" w:lineRule="exact"/>
            </w:pPr>
            <w:r w:rsidRPr="006C5207">
              <w:rPr>
                <w:szCs w:val="24"/>
              </w:rPr>
              <w:t>Sápur í föstu formi: Að hámarki 15 mg/g virkra efna</w:t>
            </w:r>
            <w:r>
              <w:t>.</w:t>
            </w:r>
          </w:p>
          <w:p w:rsidR="006302AA" w:rsidRPr="006936C7" w:rsidRDefault="006302AA" w:rsidP="006302AA">
            <w:pPr>
              <w:pStyle w:val="ListParagraph"/>
              <w:numPr>
                <w:ilvl w:val="0"/>
                <w:numId w:val="18"/>
              </w:numPr>
              <w:spacing w:before="120" w:line="280" w:lineRule="exact"/>
              <w:rPr>
                <w:b/>
              </w:rPr>
            </w:pPr>
            <w:r w:rsidRPr="006936C7">
              <w:rPr>
                <w:szCs w:val="24"/>
              </w:rPr>
              <w:t>Hárnæring: Að hámarki 50 mg/g virkra efna</w:t>
            </w:r>
            <w:r w:rsidRPr="005950B0">
              <w:t>.</w:t>
            </w:r>
          </w:p>
        </w:tc>
      </w:tr>
      <w:tr w:rsidR="006302AA" w:rsidRPr="00994DE5" w:rsidTr="006302AA">
        <w:trPr>
          <w:trHeight w:val="850"/>
        </w:trPr>
        <w:tc>
          <w:tcPr>
            <w:tcW w:w="9180" w:type="dxa"/>
          </w:tcPr>
          <w:p w:rsidR="00DC0D3F" w:rsidRPr="00DC0D3F" w:rsidRDefault="00DC0D3F" w:rsidP="00DC0D3F">
            <w:pPr>
              <w:pStyle w:val="BodyText1"/>
            </w:pPr>
            <w:r w:rsidRPr="00DC0D3F">
              <w:lastRenderedPageBreak/>
              <w:t>Aukaefni</w:t>
            </w:r>
          </w:p>
          <w:p w:rsidR="006302AA" w:rsidRPr="00FF092F" w:rsidRDefault="006302AA" w:rsidP="00DC0D3F">
            <w:r>
              <w:t>Uppfyllir varan eftirfarandi viðmið:</w:t>
            </w:r>
          </w:p>
          <w:p w:rsidR="006302AA" w:rsidRPr="00FF092F" w:rsidRDefault="006302AA" w:rsidP="00DC0D3F">
            <w:r>
              <w:t>Ekkert efni (að ilmefnum undanskyldum) er skilgreint sem ertandi efni (X</w:t>
            </w:r>
            <w:r w:rsidRPr="00BB5B9C">
              <w:rPr>
                <w:vertAlign w:val="subscript"/>
              </w:rPr>
              <w:t>i</w:t>
            </w:r>
            <w:r>
              <w:t>) með H42 og/eða H43, að reglum um eigin flokkun meðtöldum.</w:t>
            </w:r>
          </w:p>
          <w:p w:rsidR="006302AA" w:rsidRPr="00FF092F" w:rsidRDefault="006302AA" w:rsidP="00DC0D3F">
            <w:r>
              <w:t>Engu ilmefni er blandað í vörur sem eru seldar með notkun fyrir börn/ungabörn í huga.</w:t>
            </w:r>
          </w:p>
          <w:p w:rsidR="006302AA" w:rsidRPr="00FF092F" w:rsidRDefault="006302AA" w:rsidP="00DC0D3F">
            <w:r>
              <w:t>Ekkert ilmefni sem flokkað er sem ertandi, X</w:t>
            </w:r>
            <w:r w:rsidRPr="00BB5B9C">
              <w:rPr>
                <w:vertAlign w:val="subscript"/>
              </w:rPr>
              <w:t>i</w:t>
            </w:r>
            <w:r>
              <w:t>, með H42 og/eða H43 (að reglum um eigin flokkun meðtöldum) skal finna í meira magni en 0,01% (100 milljónarhlutar) í vörunni.</w:t>
            </w:r>
          </w:p>
          <w:p w:rsidR="006302AA" w:rsidRPr="006C5207" w:rsidRDefault="006302AA" w:rsidP="00BA7E9F">
            <w:pPr>
              <w:spacing w:before="120" w:line="280" w:lineRule="exact"/>
              <w:rPr>
                <w:b/>
              </w:rPr>
            </w:pPr>
            <w:r>
              <w:t>ATH. Lagt er til að fyrir hvert ofangreint atriði, liði 2,3 eða 4 sem eru uppfylltir fáist 20% af heildarstigagjöf fyrir matsviðmið í matslíkani. Fyrir lið 2,3 og 4 er í mesta lagi hægt að fá samanlagt 60% af heildarstigagjöf fyrir matsviðmið.</w:t>
            </w:r>
          </w:p>
        </w:tc>
      </w:tr>
      <w:tr w:rsidR="006302AA" w:rsidRPr="00994DE5" w:rsidTr="006302AA">
        <w:trPr>
          <w:trHeight w:val="564"/>
        </w:trPr>
        <w:tc>
          <w:tcPr>
            <w:tcW w:w="9180" w:type="dxa"/>
            <w:shd w:val="clear" w:color="auto" w:fill="92D050"/>
          </w:tcPr>
          <w:p w:rsidR="006302AA" w:rsidRPr="00994DE5" w:rsidRDefault="006302AA" w:rsidP="00994DE5">
            <w:pPr>
              <w:spacing w:line="276" w:lineRule="auto"/>
            </w:pPr>
            <w:r>
              <w:rPr>
                <w:b/>
              </w:rPr>
              <w:t>STAÐFESTING LÁGMARKSSKILYRÐA OG MATSVIÐMIÐA</w:t>
            </w:r>
          </w:p>
        </w:tc>
      </w:tr>
      <w:tr w:rsidR="006302AA" w:rsidRPr="00994DE5" w:rsidTr="006302AA">
        <w:trPr>
          <w:trHeight w:val="425"/>
        </w:trPr>
        <w:tc>
          <w:tcPr>
            <w:tcW w:w="9180" w:type="dxa"/>
            <w:shd w:val="clear" w:color="auto" w:fill="FFFFFF" w:themeFill="background1"/>
          </w:tcPr>
          <w:p w:rsidR="006302AA" w:rsidRPr="00B17204" w:rsidRDefault="006302AA" w:rsidP="00994DE5">
            <w:pPr>
              <w:spacing w:line="276" w:lineRule="auto"/>
              <w:rPr>
                <w:b/>
                <w:i/>
              </w:rPr>
            </w:pPr>
            <w:r w:rsidRPr="006C5207">
              <w:t>Óski kaupandi þess skal vera hægt að staðfesta og skjalfesta hráefni</w:t>
            </w:r>
            <w:r>
              <w:t xml:space="preserve"> tiltekinnar vöru</w:t>
            </w:r>
            <w:r w:rsidRPr="006C5207">
              <w:t xml:space="preserve">, öflun þeirra og framleiðsluferli tilbúinnar vöru. </w:t>
            </w:r>
            <w:r>
              <w:t xml:space="preserve">Þetta </w:t>
            </w:r>
            <w:r w:rsidRPr="006C5207">
              <w:t xml:space="preserve">má gera á mismunandi hátt en áreiðanlegast og trúverðugast er að fá þriðja aðila til verksins. Kaupandi skal geta krafist þess af birgja að hann skjalfesti þessa þætti. Skjalfestingin má vera frá þriðja aðila, t.d. umhverfismerkis af </w:t>
            </w:r>
            <w:r>
              <w:t>T</w:t>
            </w:r>
            <w:r w:rsidRPr="006C5207">
              <w:t>egund I, þ.e. norræni Svanurinn, Evrópublómið eða umhverfisvörulýsing (epd) í samræmi við ISO 14025.  Einnig má óska eftir staðfestingu annarra aðila eða eigin yfirlýsingu um gæða- eða umhverfisstjórnunarkerfi, birgðasamningum, yfirlýsingum sem uppfylla ISO14021 eða sambærilegt.</w:t>
            </w:r>
          </w:p>
        </w:tc>
      </w:tr>
      <w:tr w:rsidR="006302AA" w:rsidRPr="00994DE5" w:rsidTr="00BA7E9F">
        <w:trPr>
          <w:trHeight w:val="564"/>
        </w:trPr>
        <w:tc>
          <w:tcPr>
            <w:tcW w:w="9180" w:type="dxa"/>
            <w:shd w:val="clear" w:color="auto" w:fill="92D050"/>
          </w:tcPr>
          <w:p w:rsidR="006302AA" w:rsidRPr="00994DE5" w:rsidRDefault="006302AA" w:rsidP="00BA7E9F">
            <w:pPr>
              <w:spacing w:line="276" w:lineRule="auto"/>
            </w:pPr>
            <w:r>
              <w:rPr>
                <w:b/>
              </w:rPr>
              <w:t>ÁKVÆÐI UM FRAMKVÆMD SAMNINGS</w:t>
            </w:r>
          </w:p>
        </w:tc>
      </w:tr>
      <w:tr w:rsidR="006302AA" w:rsidRPr="00994DE5" w:rsidTr="00BA7E9F">
        <w:trPr>
          <w:trHeight w:val="425"/>
        </w:trPr>
        <w:tc>
          <w:tcPr>
            <w:tcW w:w="9180" w:type="dxa"/>
            <w:shd w:val="clear" w:color="auto" w:fill="FFFFFF" w:themeFill="background1"/>
            <w:vAlign w:val="center"/>
          </w:tcPr>
          <w:p w:rsidR="006302AA" w:rsidRDefault="006302AA" w:rsidP="00BA7E9F">
            <w:pPr>
              <w:widowControl w:val="0"/>
              <w:autoSpaceDE w:val="0"/>
              <w:autoSpaceDN w:val="0"/>
              <w:adjustRightInd w:val="0"/>
              <w:spacing w:line="276" w:lineRule="auto"/>
              <w:rPr>
                <w:sz w:val="22"/>
              </w:rPr>
            </w:pPr>
            <w:r w:rsidRPr="005E569B">
              <w:t xml:space="preserve">Afhenda skal skýrslur um vöruöryggi </w:t>
            </w:r>
            <w:r>
              <w:t>með</w:t>
            </w:r>
            <w:r w:rsidRPr="005E569B">
              <w:t xml:space="preserve"> vörunni</w:t>
            </w:r>
          </w:p>
        </w:tc>
      </w:tr>
    </w:tbl>
    <w:p w:rsidR="00AD29A1" w:rsidRPr="00AD29A1" w:rsidRDefault="00AD29A1" w:rsidP="00AD29A1"/>
    <w:sectPr w:rsidR="00AD29A1" w:rsidRPr="00AD29A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4E7" w:rsidRDefault="006854E7" w:rsidP="00F51B15">
      <w:pPr>
        <w:spacing w:after="0" w:line="240" w:lineRule="auto"/>
      </w:pPr>
      <w:r>
        <w:separator/>
      </w:r>
    </w:p>
  </w:endnote>
  <w:endnote w:type="continuationSeparator" w:id="0">
    <w:p w:rsidR="006854E7" w:rsidRDefault="006854E7" w:rsidP="00F5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E7" w:rsidRDefault="00685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E7" w:rsidRPr="00F51B15" w:rsidRDefault="006854E7" w:rsidP="00F51B15">
    <w:pPr>
      <w:pStyle w:val="Footer"/>
      <w:jc w:val="right"/>
      <w:rPr>
        <w:sz w:val="22"/>
      </w:rPr>
    </w:pPr>
    <w:r w:rsidRPr="00F51B15">
      <w:rPr>
        <w:noProof/>
        <w:sz w:val="22"/>
      </w:rPr>
      <w:fldChar w:fldCharType="begin"/>
    </w:r>
    <w:r w:rsidRPr="00F51B15">
      <w:rPr>
        <w:noProof/>
        <w:sz w:val="22"/>
      </w:rPr>
      <w:instrText xml:space="preserve"> PAGE  \* Arabic  \* MERGEFORMAT </w:instrText>
    </w:r>
    <w:r w:rsidRPr="00F51B15">
      <w:rPr>
        <w:noProof/>
        <w:sz w:val="22"/>
      </w:rPr>
      <w:fldChar w:fldCharType="separate"/>
    </w:r>
    <w:r w:rsidR="00EC37BD">
      <w:rPr>
        <w:noProof/>
        <w:sz w:val="22"/>
      </w:rPr>
      <w:t>1</w:t>
    </w:r>
    <w:r w:rsidRPr="00F51B15">
      <w:rPr>
        <w:noProof/>
        <w:sz w:val="22"/>
      </w:rPr>
      <w:fldChar w:fldCharType="end"/>
    </w:r>
    <w:r w:rsidRPr="00F51B15">
      <w:rPr>
        <w:noProof/>
        <w:sz w:val="22"/>
      </w:rPr>
      <w:t xml:space="preserve"> / </w:t>
    </w:r>
    <w:r w:rsidRPr="00F51B15">
      <w:rPr>
        <w:noProof/>
        <w:sz w:val="22"/>
      </w:rPr>
      <w:fldChar w:fldCharType="begin"/>
    </w:r>
    <w:r w:rsidRPr="00F51B15">
      <w:rPr>
        <w:noProof/>
        <w:sz w:val="22"/>
      </w:rPr>
      <w:instrText xml:space="preserve"> NUMPAGES  \* Arabic  \* MERGEFORMAT </w:instrText>
    </w:r>
    <w:r w:rsidRPr="00F51B15">
      <w:rPr>
        <w:noProof/>
        <w:sz w:val="22"/>
      </w:rPr>
      <w:fldChar w:fldCharType="separate"/>
    </w:r>
    <w:r w:rsidR="00EC37BD">
      <w:rPr>
        <w:noProof/>
        <w:sz w:val="22"/>
      </w:rPr>
      <w:t>5</w:t>
    </w:r>
    <w:r w:rsidRPr="00F51B15">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E7" w:rsidRDefault="00685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4E7" w:rsidRDefault="006854E7" w:rsidP="00F51B15">
      <w:pPr>
        <w:spacing w:after="0" w:line="240" w:lineRule="auto"/>
      </w:pPr>
      <w:r>
        <w:separator/>
      </w:r>
    </w:p>
  </w:footnote>
  <w:footnote w:type="continuationSeparator" w:id="0">
    <w:p w:rsidR="006854E7" w:rsidRDefault="006854E7" w:rsidP="00F51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E7" w:rsidRDefault="00685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E7" w:rsidRDefault="006854E7">
    <w:pPr>
      <w:pStyle w:val="Header"/>
      <w:rPr>
        <w:color w:val="808080" w:themeColor="background1" w:themeShade="80"/>
      </w:rPr>
    </w:pPr>
    <w:r>
      <w:rPr>
        <w:noProof/>
        <w:color w:val="808080" w:themeColor="background1" w:themeShade="80"/>
        <w:lang w:eastAsia="is-IS"/>
      </w:rPr>
      <w:drawing>
        <wp:inline distT="0" distB="0" distL="0" distR="0" wp14:anchorId="3143FFA6" wp14:editId="18B341DF">
          <wp:extent cx="1282535" cy="47423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g texti VISTVÆN INNKAUP.jpg"/>
                  <pic:cNvPicPr/>
                </pic:nvPicPr>
                <pic:blipFill>
                  <a:blip r:embed="rId1">
                    <a:extLst>
                      <a:ext uri="{28A0092B-C50C-407E-A947-70E740481C1C}">
                        <a14:useLocalDpi xmlns:a14="http://schemas.microsoft.com/office/drawing/2010/main" val="0"/>
                      </a:ext>
                    </a:extLst>
                  </a:blip>
                  <a:stretch>
                    <a:fillRect/>
                  </a:stretch>
                </pic:blipFill>
                <pic:spPr>
                  <a:xfrm>
                    <a:off x="0" y="0"/>
                    <a:ext cx="1283537" cy="474605"/>
                  </a:xfrm>
                  <a:prstGeom prst="rect">
                    <a:avLst/>
                  </a:prstGeom>
                </pic:spPr>
              </pic:pic>
            </a:graphicData>
          </a:graphic>
        </wp:inline>
      </w:drawing>
    </w:r>
  </w:p>
  <w:p w:rsidR="006854E7" w:rsidRPr="000A49FB" w:rsidRDefault="006854E7">
    <w:pPr>
      <w:pStyle w:val="Header"/>
      <w:rPr>
        <w:color w:val="808080" w:themeColor="background1" w:themeShade="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E7" w:rsidRDefault="00685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E9A"/>
    <w:multiLevelType w:val="hybridMultilevel"/>
    <w:tmpl w:val="2E8878DA"/>
    <w:lvl w:ilvl="0" w:tplc="15D8696C">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06050B69"/>
    <w:multiLevelType w:val="hybridMultilevel"/>
    <w:tmpl w:val="63A87BA4"/>
    <w:lvl w:ilvl="0" w:tplc="C2D26D84">
      <w:start w:val="1"/>
      <w:numFmt w:val="bullet"/>
      <w:pStyle w:val="Bulletpoints3"/>
      <w:lvlText w:val=""/>
      <w:lvlJc w:val="left"/>
      <w:pPr>
        <w:tabs>
          <w:tab w:val="num" w:pos="1179"/>
        </w:tabs>
        <w:ind w:left="1610" w:hanging="283"/>
      </w:pPr>
      <w:rPr>
        <w:rFonts w:ascii="Wingdings" w:hAnsi="Wingdings" w:hint="default"/>
      </w:rPr>
    </w:lvl>
    <w:lvl w:ilvl="1" w:tplc="04090003" w:tentative="1">
      <w:start w:val="1"/>
      <w:numFmt w:val="bullet"/>
      <w:lvlText w:val="o"/>
      <w:lvlJc w:val="left"/>
      <w:pPr>
        <w:tabs>
          <w:tab w:val="num" w:pos="1179"/>
        </w:tabs>
        <w:ind w:left="1179" w:hanging="360"/>
      </w:pPr>
      <w:rPr>
        <w:rFonts w:ascii="Courier New" w:hAnsi="Courier New" w:cs="Arial" w:hint="default"/>
      </w:rPr>
    </w:lvl>
    <w:lvl w:ilvl="2" w:tplc="04090005" w:tentative="1">
      <w:start w:val="1"/>
      <w:numFmt w:val="bullet"/>
      <w:lvlText w:val=""/>
      <w:lvlJc w:val="left"/>
      <w:pPr>
        <w:tabs>
          <w:tab w:val="num" w:pos="1899"/>
        </w:tabs>
        <w:ind w:left="1899" w:hanging="360"/>
      </w:pPr>
      <w:rPr>
        <w:rFonts w:ascii="Wingdings" w:hAnsi="Wingdings" w:hint="default"/>
      </w:rPr>
    </w:lvl>
    <w:lvl w:ilvl="3" w:tplc="04090001" w:tentative="1">
      <w:start w:val="1"/>
      <w:numFmt w:val="bullet"/>
      <w:lvlText w:val=""/>
      <w:lvlJc w:val="left"/>
      <w:pPr>
        <w:tabs>
          <w:tab w:val="num" w:pos="2619"/>
        </w:tabs>
        <w:ind w:left="2619" w:hanging="360"/>
      </w:pPr>
      <w:rPr>
        <w:rFonts w:ascii="Symbol" w:hAnsi="Symbol" w:hint="default"/>
      </w:rPr>
    </w:lvl>
    <w:lvl w:ilvl="4" w:tplc="04090003" w:tentative="1">
      <w:start w:val="1"/>
      <w:numFmt w:val="bullet"/>
      <w:lvlText w:val="o"/>
      <w:lvlJc w:val="left"/>
      <w:pPr>
        <w:tabs>
          <w:tab w:val="num" w:pos="3339"/>
        </w:tabs>
        <w:ind w:left="3339" w:hanging="360"/>
      </w:pPr>
      <w:rPr>
        <w:rFonts w:ascii="Courier New" w:hAnsi="Courier New" w:cs="Arial" w:hint="default"/>
      </w:rPr>
    </w:lvl>
    <w:lvl w:ilvl="5" w:tplc="04090005" w:tentative="1">
      <w:start w:val="1"/>
      <w:numFmt w:val="bullet"/>
      <w:lvlText w:val=""/>
      <w:lvlJc w:val="left"/>
      <w:pPr>
        <w:tabs>
          <w:tab w:val="num" w:pos="4059"/>
        </w:tabs>
        <w:ind w:left="4059" w:hanging="360"/>
      </w:pPr>
      <w:rPr>
        <w:rFonts w:ascii="Wingdings" w:hAnsi="Wingdings" w:hint="default"/>
      </w:rPr>
    </w:lvl>
    <w:lvl w:ilvl="6" w:tplc="04090001" w:tentative="1">
      <w:start w:val="1"/>
      <w:numFmt w:val="bullet"/>
      <w:lvlText w:val=""/>
      <w:lvlJc w:val="left"/>
      <w:pPr>
        <w:tabs>
          <w:tab w:val="num" w:pos="4779"/>
        </w:tabs>
        <w:ind w:left="4779" w:hanging="360"/>
      </w:pPr>
      <w:rPr>
        <w:rFonts w:ascii="Symbol" w:hAnsi="Symbol" w:hint="default"/>
      </w:rPr>
    </w:lvl>
    <w:lvl w:ilvl="7" w:tplc="04090003" w:tentative="1">
      <w:start w:val="1"/>
      <w:numFmt w:val="bullet"/>
      <w:lvlText w:val="o"/>
      <w:lvlJc w:val="left"/>
      <w:pPr>
        <w:tabs>
          <w:tab w:val="num" w:pos="5499"/>
        </w:tabs>
        <w:ind w:left="5499" w:hanging="360"/>
      </w:pPr>
      <w:rPr>
        <w:rFonts w:ascii="Courier New" w:hAnsi="Courier New" w:cs="Arial" w:hint="default"/>
      </w:rPr>
    </w:lvl>
    <w:lvl w:ilvl="8" w:tplc="04090005" w:tentative="1">
      <w:start w:val="1"/>
      <w:numFmt w:val="bullet"/>
      <w:lvlText w:val=""/>
      <w:lvlJc w:val="left"/>
      <w:pPr>
        <w:tabs>
          <w:tab w:val="num" w:pos="6219"/>
        </w:tabs>
        <w:ind w:left="6219" w:hanging="360"/>
      </w:pPr>
      <w:rPr>
        <w:rFonts w:ascii="Wingdings" w:hAnsi="Wingdings" w:hint="default"/>
      </w:rPr>
    </w:lvl>
  </w:abstractNum>
  <w:abstractNum w:abstractNumId="2">
    <w:nsid w:val="06616878"/>
    <w:multiLevelType w:val="hybridMultilevel"/>
    <w:tmpl w:val="379A94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13C77D72"/>
    <w:multiLevelType w:val="hybridMultilevel"/>
    <w:tmpl w:val="D16478BC"/>
    <w:lvl w:ilvl="0" w:tplc="C91A5E1E">
      <w:start w:val="2"/>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197E2B0B"/>
    <w:multiLevelType w:val="hybridMultilevel"/>
    <w:tmpl w:val="5E567D02"/>
    <w:lvl w:ilvl="0" w:tplc="989C15BA">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5">
    <w:nsid w:val="204F3868"/>
    <w:multiLevelType w:val="hybridMultilevel"/>
    <w:tmpl w:val="6F3A81C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nsid w:val="230375A3"/>
    <w:multiLevelType w:val="hybridMultilevel"/>
    <w:tmpl w:val="9370944A"/>
    <w:lvl w:ilvl="0" w:tplc="9A401E4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nsid w:val="3011387B"/>
    <w:multiLevelType w:val="hybridMultilevel"/>
    <w:tmpl w:val="68725138"/>
    <w:lvl w:ilvl="0" w:tplc="989C15BA">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8">
    <w:nsid w:val="35984281"/>
    <w:multiLevelType w:val="hybridMultilevel"/>
    <w:tmpl w:val="9370944A"/>
    <w:lvl w:ilvl="0" w:tplc="9A401E4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nsid w:val="3C095BE0"/>
    <w:multiLevelType w:val="hybridMultilevel"/>
    <w:tmpl w:val="BB88FB40"/>
    <w:lvl w:ilvl="0" w:tplc="50CAABEE">
      <w:start w:val="2"/>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40990012"/>
    <w:multiLevelType w:val="hybridMultilevel"/>
    <w:tmpl w:val="EC225CD6"/>
    <w:lvl w:ilvl="0" w:tplc="7C98684E">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40A2411C"/>
    <w:multiLevelType w:val="hybridMultilevel"/>
    <w:tmpl w:val="F27C3D6A"/>
    <w:lvl w:ilvl="0" w:tplc="87F6628E">
      <w:start w:val="3"/>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44006B1D"/>
    <w:multiLevelType w:val="multilevel"/>
    <w:tmpl w:val="BEEE575E"/>
    <w:lvl w:ilvl="0">
      <w:start w:val="1"/>
      <w:numFmt w:val="decimal"/>
      <w:pStyle w:val="Headline1"/>
      <w:lvlText w:val="%1."/>
      <w:lvlJc w:val="left"/>
      <w:pPr>
        <w:tabs>
          <w:tab w:val="num" w:pos="432"/>
        </w:tabs>
        <w:ind w:left="432" w:hanging="432"/>
      </w:pPr>
      <w:rPr>
        <w:rFonts w:ascii="Times New Roman" w:hAnsi="Times New Roman" w:hint="default"/>
        <w:b w:val="0"/>
        <w:i w:val="0"/>
        <w:sz w:val="52"/>
        <w:lang w:val="en-GB"/>
      </w:rPr>
    </w:lvl>
    <w:lvl w:ilvl="1">
      <w:start w:val="1"/>
      <w:numFmt w:val="decimal"/>
      <w:pStyle w:val="Headline2"/>
      <w:lvlText w:val="%1.%2."/>
      <w:lvlJc w:val="left"/>
      <w:pPr>
        <w:tabs>
          <w:tab w:val="num" w:pos="576"/>
        </w:tabs>
        <w:ind w:left="576" w:hanging="576"/>
      </w:pPr>
      <w:rPr>
        <w:rFonts w:ascii="Times New Roman" w:hAnsi="Times New Roman" w:hint="default"/>
        <w:b w:val="0"/>
        <w:i w:val="0"/>
        <w:sz w:val="32"/>
      </w:rPr>
    </w:lvl>
    <w:lvl w:ilvl="2">
      <w:start w:val="1"/>
      <w:numFmt w:val="decimal"/>
      <w:pStyle w:val="Headline3"/>
      <w:lvlText w:val="%1.%2.%3."/>
      <w:lvlJc w:val="left"/>
      <w:pPr>
        <w:tabs>
          <w:tab w:val="num" w:pos="720"/>
        </w:tabs>
        <w:ind w:left="720" w:hanging="720"/>
      </w:pPr>
      <w:rPr>
        <w:rFonts w:ascii="Times New Roman" w:hAnsi="Times New Roman" w:hint="default"/>
        <w:b w:val="0"/>
        <w:i/>
        <w:sz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8360E88"/>
    <w:multiLevelType w:val="hybridMultilevel"/>
    <w:tmpl w:val="9538189E"/>
    <w:lvl w:ilvl="0" w:tplc="AC607F76">
      <w:start w:val="1"/>
      <w:numFmt w:val="bullet"/>
      <w:pStyle w:val="Bulletpoints2"/>
      <w:lvlText w:val="o"/>
      <w:lvlJc w:val="left"/>
      <w:pPr>
        <w:tabs>
          <w:tab w:val="num" w:pos="360"/>
        </w:tabs>
        <w:ind w:left="360" w:hanging="360"/>
      </w:pPr>
      <w:rPr>
        <w:rFonts w:ascii="Courier New" w:hAnsi="Courier New" w:cs="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D866571"/>
    <w:multiLevelType w:val="hybridMultilevel"/>
    <w:tmpl w:val="7D86184E"/>
    <w:lvl w:ilvl="0" w:tplc="989C15B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nsid w:val="4F216082"/>
    <w:multiLevelType w:val="hybridMultilevel"/>
    <w:tmpl w:val="091A975E"/>
    <w:lvl w:ilvl="0" w:tplc="5862001A">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nsid w:val="500B7CAB"/>
    <w:multiLevelType w:val="hybridMultilevel"/>
    <w:tmpl w:val="631C9BFE"/>
    <w:lvl w:ilvl="0" w:tplc="F0DA5D94">
      <w:start w:val="1"/>
      <w:numFmt w:val="decimal"/>
      <w:pStyle w:val="BodyText1"/>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nsid w:val="5E342DC3"/>
    <w:multiLevelType w:val="hybridMultilevel"/>
    <w:tmpl w:val="038A07A6"/>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nsid w:val="5E5820AC"/>
    <w:multiLevelType w:val="hybridMultilevel"/>
    <w:tmpl w:val="5E32156A"/>
    <w:lvl w:ilvl="0" w:tplc="15D8696C">
      <w:numFmt w:val="bullet"/>
      <w:lvlText w:val="-"/>
      <w:lvlJc w:val="left"/>
      <w:pPr>
        <w:ind w:left="360" w:hanging="360"/>
      </w:pPr>
      <w:rPr>
        <w:rFonts w:ascii="Times New Roman" w:eastAsia="Times New Roman" w:hAnsi="Times New Roman" w:cs="Times New Roman"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9">
    <w:nsid w:val="5ED13DCF"/>
    <w:multiLevelType w:val="hybridMultilevel"/>
    <w:tmpl w:val="F990BDB8"/>
    <w:lvl w:ilvl="0" w:tplc="9826642E">
      <w:start w:val="3"/>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nsid w:val="5F1E592F"/>
    <w:multiLevelType w:val="multilevel"/>
    <w:tmpl w:val="040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60EF6CD5"/>
    <w:multiLevelType w:val="hybridMultilevel"/>
    <w:tmpl w:val="BD6A0502"/>
    <w:lvl w:ilvl="0" w:tplc="BF70E77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nsid w:val="68316E73"/>
    <w:multiLevelType w:val="hybridMultilevel"/>
    <w:tmpl w:val="7D86184E"/>
    <w:lvl w:ilvl="0" w:tplc="989C15B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nsid w:val="74CC10E7"/>
    <w:multiLevelType w:val="hybridMultilevel"/>
    <w:tmpl w:val="725218D2"/>
    <w:lvl w:ilvl="0" w:tplc="7062F276">
      <w:start w:val="1"/>
      <w:numFmt w:val="lowerLetter"/>
      <w:lvlText w:val="%1)"/>
      <w:lvlJc w:val="left"/>
      <w:pPr>
        <w:ind w:left="360" w:hanging="360"/>
      </w:pPr>
      <w:rPr>
        <w:rFonts w:hint="default"/>
        <w:b/>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4">
    <w:nsid w:val="75A32FCF"/>
    <w:multiLevelType w:val="hybridMultilevel"/>
    <w:tmpl w:val="73F873D6"/>
    <w:lvl w:ilvl="0" w:tplc="426ECDAE">
      <w:start w:val="1"/>
      <w:numFmt w:val="decimal"/>
      <w:pStyle w:val="Bulletpoints"/>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nsid w:val="7804162E"/>
    <w:multiLevelType w:val="hybridMultilevel"/>
    <w:tmpl w:val="4B0C940C"/>
    <w:lvl w:ilvl="0" w:tplc="15D8696C">
      <w:numFmt w:val="bullet"/>
      <w:lvlText w:val="-"/>
      <w:lvlJc w:val="left"/>
      <w:pPr>
        <w:tabs>
          <w:tab w:val="num" w:pos="495"/>
        </w:tabs>
        <w:ind w:left="926" w:hanging="283"/>
      </w:pPr>
      <w:rPr>
        <w:rFonts w:ascii="Times New Roman" w:eastAsia="Times New Roman" w:hAnsi="Times New Roman" w:cs="Times New Roman" w:hint="default"/>
      </w:rPr>
    </w:lvl>
    <w:lvl w:ilvl="1" w:tplc="04090003" w:tentative="1">
      <w:start w:val="1"/>
      <w:numFmt w:val="bullet"/>
      <w:lvlText w:val="o"/>
      <w:lvlJc w:val="left"/>
      <w:pPr>
        <w:tabs>
          <w:tab w:val="num" w:pos="495"/>
        </w:tabs>
        <w:ind w:left="495" w:hanging="360"/>
      </w:pPr>
      <w:rPr>
        <w:rFonts w:ascii="Courier New" w:hAnsi="Courier New" w:cs="Arial" w:hint="default"/>
      </w:rPr>
    </w:lvl>
    <w:lvl w:ilvl="2" w:tplc="04090005" w:tentative="1">
      <w:start w:val="1"/>
      <w:numFmt w:val="bullet"/>
      <w:lvlText w:val=""/>
      <w:lvlJc w:val="left"/>
      <w:pPr>
        <w:tabs>
          <w:tab w:val="num" w:pos="1215"/>
        </w:tabs>
        <w:ind w:left="1215" w:hanging="360"/>
      </w:pPr>
      <w:rPr>
        <w:rFonts w:ascii="Wingdings" w:hAnsi="Wingdings" w:hint="default"/>
      </w:rPr>
    </w:lvl>
    <w:lvl w:ilvl="3" w:tplc="04090001" w:tentative="1">
      <w:start w:val="1"/>
      <w:numFmt w:val="bullet"/>
      <w:lvlText w:val=""/>
      <w:lvlJc w:val="left"/>
      <w:pPr>
        <w:tabs>
          <w:tab w:val="num" w:pos="1935"/>
        </w:tabs>
        <w:ind w:left="1935" w:hanging="360"/>
      </w:pPr>
      <w:rPr>
        <w:rFonts w:ascii="Symbol" w:hAnsi="Symbol" w:hint="default"/>
      </w:rPr>
    </w:lvl>
    <w:lvl w:ilvl="4" w:tplc="04090003" w:tentative="1">
      <w:start w:val="1"/>
      <w:numFmt w:val="bullet"/>
      <w:lvlText w:val="o"/>
      <w:lvlJc w:val="left"/>
      <w:pPr>
        <w:tabs>
          <w:tab w:val="num" w:pos="2655"/>
        </w:tabs>
        <w:ind w:left="2655" w:hanging="360"/>
      </w:pPr>
      <w:rPr>
        <w:rFonts w:ascii="Courier New" w:hAnsi="Courier New" w:cs="Arial" w:hint="default"/>
      </w:rPr>
    </w:lvl>
    <w:lvl w:ilvl="5" w:tplc="04090005" w:tentative="1">
      <w:start w:val="1"/>
      <w:numFmt w:val="bullet"/>
      <w:lvlText w:val=""/>
      <w:lvlJc w:val="left"/>
      <w:pPr>
        <w:tabs>
          <w:tab w:val="num" w:pos="3375"/>
        </w:tabs>
        <w:ind w:left="3375" w:hanging="360"/>
      </w:pPr>
      <w:rPr>
        <w:rFonts w:ascii="Wingdings" w:hAnsi="Wingdings" w:hint="default"/>
      </w:rPr>
    </w:lvl>
    <w:lvl w:ilvl="6" w:tplc="04090001" w:tentative="1">
      <w:start w:val="1"/>
      <w:numFmt w:val="bullet"/>
      <w:lvlText w:val=""/>
      <w:lvlJc w:val="left"/>
      <w:pPr>
        <w:tabs>
          <w:tab w:val="num" w:pos="4095"/>
        </w:tabs>
        <w:ind w:left="4095" w:hanging="360"/>
      </w:pPr>
      <w:rPr>
        <w:rFonts w:ascii="Symbol" w:hAnsi="Symbol" w:hint="default"/>
      </w:rPr>
    </w:lvl>
    <w:lvl w:ilvl="7" w:tplc="04090003" w:tentative="1">
      <w:start w:val="1"/>
      <w:numFmt w:val="bullet"/>
      <w:lvlText w:val="o"/>
      <w:lvlJc w:val="left"/>
      <w:pPr>
        <w:tabs>
          <w:tab w:val="num" w:pos="4815"/>
        </w:tabs>
        <w:ind w:left="4815" w:hanging="360"/>
      </w:pPr>
      <w:rPr>
        <w:rFonts w:ascii="Courier New" w:hAnsi="Courier New" w:cs="Arial" w:hint="default"/>
      </w:rPr>
    </w:lvl>
    <w:lvl w:ilvl="8" w:tplc="04090005" w:tentative="1">
      <w:start w:val="1"/>
      <w:numFmt w:val="bullet"/>
      <w:lvlText w:val=""/>
      <w:lvlJc w:val="left"/>
      <w:pPr>
        <w:tabs>
          <w:tab w:val="num" w:pos="5535"/>
        </w:tabs>
        <w:ind w:left="5535" w:hanging="360"/>
      </w:pPr>
      <w:rPr>
        <w:rFonts w:ascii="Wingdings" w:hAnsi="Wingdings" w:hint="default"/>
      </w:rPr>
    </w:lvl>
  </w:abstractNum>
  <w:abstractNum w:abstractNumId="26">
    <w:nsid w:val="7A317CC9"/>
    <w:multiLevelType w:val="hybridMultilevel"/>
    <w:tmpl w:val="E7E00A88"/>
    <w:lvl w:ilvl="0" w:tplc="15D8696C">
      <w:numFmt w:val="bullet"/>
      <w:lvlText w:val="-"/>
      <w:lvlJc w:val="left"/>
      <w:pPr>
        <w:ind w:left="360" w:hanging="360"/>
      </w:pPr>
      <w:rPr>
        <w:rFonts w:ascii="Times New Roman" w:eastAsia="Times New Roman" w:hAnsi="Times New Roman" w:cs="Times New Roman"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7">
    <w:nsid w:val="7B647481"/>
    <w:multiLevelType w:val="hybridMultilevel"/>
    <w:tmpl w:val="A086A204"/>
    <w:lvl w:ilvl="0" w:tplc="15D8696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
  </w:num>
  <w:num w:numId="3">
    <w:abstractNumId w:val="17"/>
  </w:num>
  <w:num w:numId="4">
    <w:abstractNumId w:val="4"/>
  </w:num>
  <w:num w:numId="5">
    <w:abstractNumId w:val="7"/>
  </w:num>
  <w:num w:numId="6">
    <w:abstractNumId w:val="3"/>
  </w:num>
  <w:num w:numId="7">
    <w:abstractNumId w:val="11"/>
  </w:num>
  <w:num w:numId="8">
    <w:abstractNumId w:val="23"/>
  </w:num>
  <w:num w:numId="9">
    <w:abstractNumId w:val="22"/>
  </w:num>
  <w:num w:numId="10">
    <w:abstractNumId w:val="14"/>
  </w:num>
  <w:num w:numId="11">
    <w:abstractNumId w:val="9"/>
  </w:num>
  <w:num w:numId="12">
    <w:abstractNumId w:val="19"/>
  </w:num>
  <w:num w:numId="13">
    <w:abstractNumId w:val="6"/>
  </w:num>
  <w:num w:numId="14">
    <w:abstractNumId w:val="8"/>
  </w:num>
  <w:num w:numId="15">
    <w:abstractNumId w:val="12"/>
  </w:num>
  <w:num w:numId="16">
    <w:abstractNumId w:val="0"/>
  </w:num>
  <w:num w:numId="17">
    <w:abstractNumId w:val="5"/>
  </w:num>
  <w:num w:numId="18">
    <w:abstractNumId w:val="18"/>
  </w:num>
  <w:num w:numId="19">
    <w:abstractNumId w:val="13"/>
  </w:num>
  <w:num w:numId="20">
    <w:abstractNumId w:val="1"/>
  </w:num>
  <w:num w:numId="21">
    <w:abstractNumId w:val="27"/>
  </w:num>
  <w:num w:numId="22">
    <w:abstractNumId w:val="25"/>
  </w:num>
  <w:num w:numId="23">
    <w:abstractNumId w:val="26"/>
  </w:num>
  <w:num w:numId="24">
    <w:abstractNumId w:val="10"/>
  </w:num>
  <w:num w:numId="25">
    <w:abstractNumId w:val="21"/>
  </w:num>
  <w:num w:numId="26">
    <w:abstractNumId w:val="15"/>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D8"/>
    <w:rsid w:val="000A49FB"/>
    <w:rsid w:val="002A0F11"/>
    <w:rsid w:val="002F57F8"/>
    <w:rsid w:val="00331F8B"/>
    <w:rsid w:val="003373AF"/>
    <w:rsid w:val="004B213E"/>
    <w:rsid w:val="006302AA"/>
    <w:rsid w:val="006854E7"/>
    <w:rsid w:val="007566D8"/>
    <w:rsid w:val="007D3928"/>
    <w:rsid w:val="008B4440"/>
    <w:rsid w:val="00957923"/>
    <w:rsid w:val="00980979"/>
    <w:rsid w:val="00994DE5"/>
    <w:rsid w:val="00AC62B2"/>
    <w:rsid w:val="00AD29A1"/>
    <w:rsid w:val="00B17204"/>
    <w:rsid w:val="00BA286C"/>
    <w:rsid w:val="00BA7E9F"/>
    <w:rsid w:val="00BB5B9C"/>
    <w:rsid w:val="00BE7318"/>
    <w:rsid w:val="00C51BF2"/>
    <w:rsid w:val="00DA346D"/>
    <w:rsid w:val="00DC0D3F"/>
    <w:rsid w:val="00EC37BD"/>
    <w:rsid w:val="00F404FF"/>
    <w:rsid w:val="00F43E05"/>
    <w:rsid w:val="00F51B1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15"/>
    <w:pPr>
      <w:spacing w:after="120"/>
    </w:pPr>
    <w:rPr>
      <w:rFonts w:ascii="Times New Roman" w:hAnsi="Times New Roman"/>
      <w:sz w:val="24"/>
    </w:rPr>
  </w:style>
  <w:style w:type="paragraph" w:styleId="Heading1">
    <w:name w:val="heading 1"/>
    <w:basedOn w:val="Normal"/>
    <w:next w:val="Normal"/>
    <w:link w:val="Heading1Char"/>
    <w:uiPriority w:val="9"/>
    <w:qFormat/>
    <w:rsid w:val="000A49FB"/>
    <w:pPr>
      <w:keepNext/>
      <w:keepLines/>
      <w:numPr>
        <w:numId w:val="1"/>
      </w:numPr>
      <w:pBdr>
        <w:top w:val="single" w:sz="4" w:space="1" w:color="808080" w:themeColor="background1" w:themeShade="80"/>
        <w:bottom w:val="single" w:sz="4" w:space="1" w:color="808080" w:themeColor="background1" w:themeShade="80"/>
      </w:pBdr>
      <w:spacing w:before="480" w:after="240"/>
      <w:ind w:left="431" w:hanging="431"/>
      <w:outlineLvl w:val="0"/>
    </w:pPr>
    <w:rPr>
      <w:rFonts w:eastAsiaTheme="majorEastAsia" w:cstheme="majorBidi"/>
      <w:b/>
      <w:bCs/>
      <w:smallCaps/>
      <w:sz w:val="32"/>
      <w:szCs w:val="28"/>
    </w:rPr>
  </w:style>
  <w:style w:type="paragraph" w:styleId="Heading2">
    <w:name w:val="heading 2"/>
    <w:basedOn w:val="Normal"/>
    <w:next w:val="Normal"/>
    <w:link w:val="Heading2Char"/>
    <w:uiPriority w:val="9"/>
    <w:unhideWhenUsed/>
    <w:qFormat/>
    <w:rsid w:val="007566D8"/>
    <w:pPr>
      <w:keepNext/>
      <w:keepLines/>
      <w:numPr>
        <w:ilvl w:val="1"/>
        <w:numId w:val="1"/>
      </w:numPr>
      <w:spacing w:before="200" w:after="0"/>
      <w:outlineLvl w:val="1"/>
    </w:pPr>
    <w:rPr>
      <w:rFonts w:eastAsiaTheme="majorEastAsia" w:cstheme="majorBidi"/>
      <w:b/>
      <w:bCs/>
      <w:smallCaps/>
      <w:sz w:val="28"/>
      <w:szCs w:val="26"/>
    </w:rPr>
  </w:style>
  <w:style w:type="paragraph" w:styleId="Heading3">
    <w:name w:val="heading 3"/>
    <w:basedOn w:val="Normal"/>
    <w:next w:val="Normal"/>
    <w:link w:val="Heading3Char"/>
    <w:uiPriority w:val="9"/>
    <w:unhideWhenUsed/>
    <w:qFormat/>
    <w:rsid w:val="007566D8"/>
    <w:pPr>
      <w:keepNext/>
      <w:keepLines/>
      <w:numPr>
        <w:ilvl w:val="2"/>
        <w:numId w:val="1"/>
      </w:numPr>
      <w:spacing w:before="200" w:after="0"/>
      <w:outlineLvl w:val="2"/>
    </w:pPr>
    <w:rPr>
      <w:rFonts w:eastAsiaTheme="majorEastAsia" w:cstheme="majorBidi"/>
      <w:bCs/>
      <w:smallCaps/>
    </w:rPr>
  </w:style>
  <w:style w:type="paragraph" w:styleId="Heading4">
    <w:name w:val="heading 4"/>
    <w:basedOn w:val="Normal"/>
    <w:next w:val="Normal"/>
    <w:link w:val="Heading4Char"/>
    <w:uiPriority w:val="9"/>
    <w:semiHidden/>
    <w:unhideWhenUsed/>
    <w:qFormat/>
    <w:rsid w:val="007566D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66D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6D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6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6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66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9FB"/>
    <w:rPr>
      <w:rFonts w:ascii="Times New Roman" w:eastAsiaTheme="majorEastAsia" w:hAnsi="Times New Roman" w:cstheme="majorBidi"/>
      <w:b/>
      <w:bCs/>
      <w:smallCaps/>
      <w:sz w:val="32"/>
      <w:szCs w:val="28"/>
    </w:rPr>
  </w:style>
  <w:style w:type="character" w:customStyle="1" w:styleId="Heading2Char">
    <w:name w:val="Heading 2 Char"/>
    <w:basedOn w:val="DefaultParagraphFont"/>
    <w:link w:val="Heading2"/>
    <w:uiPriority w:val="9"/>
    <w:rsid w:val="007566D8"/>
    <w:rPr>
      <w:rFonts w:ascii="Times New Roman" w:eastAsiaTheme="majorEastAsia" w:hAnsi="Times New Roman" w:cstheme="majorBidi"/>
      <w:b/>
      <w:bCs/>
      <w:smallCaps/>
      <w:sz w:val="28"/>
      <w:szCs w:val="26"/>
    </w:rPr>
  </w:style>
  <w:style w:type="character" w:customStyle="1" w:styleId="Heading3Char">
    <w:name w:val="Heading 3 Char"/>
    <w:basedOn w:val="DefaultParagraphFont"/>
    <w:link w:val="Heading3"/>
    <w:uiPriority w:val="9"/>
    <w:rsid w:val="007566D8"/>
    <w:rPr>
      <w:rFonts w:ascii="Times New Roman" w:eastAsiaTheme="majorEastAsia" w:hAnsi="Times New Roman" w:cstheme="majorBidi"/>
      <w:bCs/>
      <w:smallCaps/>
      <w:sz w:val="24"/>
    </w:rPr>
  </w:style>
  <w:style w:type="character" w:customStyle="1" w:styleId="Heading4Char">
    <w:name w:val="Heading 4 Char"/>
    <w:basedOn w:val="DefaultParagraphFont"/>
    <w:link w:val="Heading4"/>
    <w:uiPriority w:val="9"/>
    <w:semiHidden/>
    <w:rsid w:val="007566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66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66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66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66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66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51B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B15"/>
    <w:rPr>
      <w:rFonts w:ascii="Times New Roman" w:hAnsi="Times New Roman"/>
      <w:sz w:val="24"/>
    </w:rPr>
  </w:style>
  <w:style w:type="paragraph" w:styleId="Footer">
    <w:name w:val="footer"/>
    <w:basedOn w:val="Normal"/>
    <w:link w:val="FooterChar"/>
    <w:uiPriority w:val="99"/>
    <w:unhideWhenUsed/>
    <w:rsid w:val="00F51B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1B15"/>
    <w:rPr>
      <w:rFonts w:ascii="Times New Roman" w:hAnsi="Times New Roman"/>
      <w:sz w:val="24"/>
    </w:rPr>
  </w:style>
  <w:style w:type="table" w:styleId="TableGrid">
    <w:name w:val="Table Grid"/>
    <w:basedOn w:val="TableNormal"/>
    <w:uiPriority w:val="59"/>
    <w:rsid w:val="00F51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ill">
    <w:name w:val="Titill"/>
    <w:basedOn w:val="Normal"/>
    <w:qFormat/>
    <w:rsid w:val="00B17204"/>
    <w:pPr>
      <w:spacing w:before="120" w:line="240" w:lineRule="auto"/>
    </w:pPr>
    <w:rPr>
      <w:b/>
      <w:smallCaps/>
      <w:sz w:val="36"/>
    </w:rPr>
  </w:style>
  <w:style w:type="paragraph" w:styleId="BalloonText">
    <w:name w:val="Balloon Text"/>
    <w:basedOn w:val="Normal"/>
    <w:link w:val="BalloonTextChar"/>
    <w:uiPriority w:val="99"/>
    <w:semiHidden/>
    <w:unhideWhenUsed/>
    <w:rsid w:val="002F5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F8"/>
    <w:rPr>
      <w:rFonts w:ascii="Tahoma" w:hAnsi="Tahoma" w:cs="Tahoma"/>
      <w:sz w:val="16"/>
      <w:szCs w:val="16"/>
    </w:rPr>
  </w:style>
  <w:style w:type="character" w:styleId="Hyperlink">
    <w:name w:val="Hyperlink"/>
    <w:basedOn w:val="DefaultParagraphFont"/>
    <w:uiPriority w:val="99"/>
    <w:unhideWhenUsed/>
    <w:rsid w:val="002A0F11"/>
    <w:rPr>
      <w:color w:val="0000FF" w:themeColor="hyperlink"/>
      <w:u w:val="single"/>
    </w:rPr>
  </w:style>
  <w:style w:type="paragraph" w:styleId="ListParagraph">
    <w:name w:val="List Paragraph"/>
    <w:basedOn w:val="Normal"/>
    <w:uiPriority w:val="34"/>
    <w:qFormat/>
    <w:rsid w:val="00DA346D"/>
    <w:pPr>
      <w:ind w:left="720"/>
      <w:contextualSpacing/>
    </w:pPr>
  </w:style>
  <w:style w:type="table" w:customStyle="1" w:styleId="TableGrid1">
    <w:name w:val="Table Grid1"/>
    <w:basedOn w:val="TableNormal"/>
    <w:next w:val="TableGrid"/>
    <w:uiPriority w:val="59"/>
    <w:rsid w:val="00994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94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DE5"/>
    <w:rPr>
      <w:rFonts w:ascii="Times New Roman" w:hAnsi="Times New Roman"/>
      <w:sz w:val="20"/>
      <w:szCs w:val="20"/>
    </w:rPr>
  </w:style>
  <w:style w:type="character" w:styleId="FootnoteReference">
    <w:name w:val="footnote reference"/>
    <w:basedOn w:val="DefaultParagraphFont"/>
    <w:uiPriority w:val="99"/>
    <w:semiHidden/>
    <w:unhideWhenUsed/>
    <w:rsid w:val="00994DE5"/>
    <w:rPr>
      <w:vertAlign w:val="superscript"/>
    </w:rPr>
  </w:style>
  <w:style w:type="paragraph" w:customStyle="1" w:styleId="Headline2">
    <w:name w:val="Headline 2"/>
    <w:basedOn w:val="Headline1"/>
    <w:autoRedefine/>
    <w:rsid w:val="006302AA"/>
    <w:pPr>
      <w:keepNext w:val="0"/>
      <w:pageBreakBefore w:val="0"/>
      <w:numPr>
        <w:ilvl w:val="1"/>
      </w:numPr>
      <w:spacing w:before="360" w:after="240" w:line="320" w:lineRule="exact"/>
      <w:ind w:left="578" w:hanging="578"/>
    </w:pPr>
    <w:rPr>
      <w:rFonts w:ascii="Times New Roman" w:hAnsi="Times New Roman"/>
      <w:sz w:val="28"/>
      <w:lang w:val="en-GB"/>
    </w:rPr>
  </w:style>
  <w:style w:type="paragraph" w:customStyle="1" w:styleId="Headline3">
    <w:name w:val="Headline 3"/>
    <w:autoRedefine/>
    <w:rsid w:val="006302AA"/>
    <w:pPr>
      <w:keepNext/>
      <w:numPr>
        <w:ilvl w:val="2"/>
        <w:numId w:val="15"/>
      </w:numPr>
      <w:suppressAutoHyphens/>
      <w:spacing w:before="440" w:after="120" w:line="280" w:lineRule="exact"/>
    </w:pPr>
    <w:rPr>
      <w:rFonts w:ascii="Times New Roman" w:eastAsia="Times New Roman" w:hAnsi="Times New Roman" w:cs="Times New Roman"/>
      <w:i/>
      <w:szCs w:val="20"/>
      <w:lang w:val="en-US" w:eastAsia="da-DK"/>
    </w:rPr>
  </w:style>
  <w:style w:type="paragraph" w:customStyle="1" w:styleId="Headline1">
    <w:name w:val="Headline 1"/>
    <w:basedOn w:val="Normal"/>
    <w:autoRedefine/>
    <w:rsid w:val="006302AA"/>
    <w:pPr>
      <w:keepNext/>
      <w:pageBreakBefore/>
      <w:numPr>
        <w:numId w:val="15"/>
      </w:numPr>
      <w:tabs>
        <w:tab w:val="left" w:pos="680"/>
      </w:tabs>
      <w:suppressAutoHyphens/>
      <w:spacing w:after="1120" w:line="440" w:lineRule="exact"/>
      <w:ind w:left="431" w:hanging="431"/>
    </w:pPr>
    <w:rPr>
      <w:rFonts w:ascii="TimesNewRoman" w:eastAsia="Times New Roman" w:hAnsi="TimesNewRoman" w:cs="Times New Roman"/>
      <w:sz w:val="48"/>
      <w:szCs w:val="20"/>
      <w:lang w:val="de-DE" w:eastAsia="da-DK"/>
    </w:rPr>
  </w:style>
  <w:style w:type="paragraph" w:customStyle="1" w:styleId="Headline5">
    <w:name w:val="Headline5"/>
    <w:basedOn w:val="Normal"/>
    <w:autoRedefine/>
    <w:rsid w:val="006302AA"/>
    <w:pPr>
      <w:spacing w:before="120" w:line="280" w:lineRule="exact"/>
      <w:ind w:right="62"/>
    </w:pPr>
    <w:rPr>
      <w:rFonts w:eastAsia="Times New Roman" w:cs="Times New Roman"/>
      <w:b/>
      <w:i/>
      <w:lang w:val="en-GB" w:eastAsia="da-DK" w:bidi="hi-IN"/>
    </w:rPr>
  </w:style>
  <w:style w:type="paragraph" w:customStyle="1" w:styleId="Bulletpoints">
    <w:name w:val="Bullet points"/>
    <w:basedOn w:val="Normal"/>
    <w:autoRedefine/>
    <w:rsid w:val="00DC0D3F"/>
    <w:pPr>
      <w:numPr>
        <w:numId w:val="27"/>
      </w:numPr>
      <w:suppressAutoHyphens/>
      <w:spacing w:before="120" w:line="280" w:lineRule="exact"/>
      <w:ind w:right="62"/>
    </w:pPr>
    <w:rPr>
      <w:rFonts w:eastAsia="Times New Roman" w:cs="Times New Roman"/>
      <w:b/>
      <w:szCs w:val="24"/>
      <w:lang w:eastAsia="da-DK" w:bidi="hi-IN"/>
    </w:rPr>
  </w:style>
  <w:style w:type="paragraph" w:customStyle="1" w:styleId="Bulletpoints2">
    <w:name w:val="Bullet points 2"/>
    <w:basedOn w:val="Normal"/>
    <w:autoRedefine/>
    <w:rsid w:val="006302AA"/>
    <w:pPr>
      <w:numPr>
        <w:numId w:val="19"/>
      </w:numPr>
      <w:autoSpaceDE w:val="0"/>
      <w:autoSpaceDN w:val="0"/>
      <w:adjustRightInd w:val="0"/>
      <w:spacing w:after="0" w:line="300" w:lineRule="atLeast"/>
      <w:ind w:right="50"/>
    </w:pPr>
    <w:rPr>
      <w:rFonts w:eastAsia="Times New Roman" w:cs="Times New Roman"/>
      <w:bCs/>
      <w:sz w:val="22"/>
      <w:szCs w:val="20"/>
      <w:lang w:val="en-GB" w:eastAsia="fr-FR" w:bidi="hi-IN"/>
    </w:rPr>
  </w:style>
  <w:style w:type="paragraph" w:customStyle="1" w:styleId="Bulletpoints3">
    <w:name w:val="Bullet points 3"/>
    <w:basedOn w:val="Bulletpoints2"/>
    <w:autoRedefine/>
    <w:rsid w:val="006302AA"/>
    <w:pPr>
      <w:numPr>
        <w:numId w:val="20"/>
      </w:numPr>
      <w:ind w:left="1985" w:hanging="284"/>
    </w:pPr>
  </w:style>
  <w:style w:type="paragraph" w:customStyle="1" w:styleId="Bulletpointsteksti">
    <w:name w:val="Bullet points teksti"/>
    <w:basedOn w:val="Normal"/>
    <w:autoRedefine/>
    <w:rsid w:val="006302AA"/>
    <w:pPr>
      <w:spacing w:before="120" w:line="320" w:lineRule="atLeast"/>
      <w:ind w:left="315"/>
    </w:pPr>
    <w:rPr>
      <w:rFonts w:eastAsia="Times New Roman" w:cs="Times New Roman"/>
      <w:sz w:val="22"/>
      <w:lang w:val="en-US"/>
    </w:rPr>
  </w:style>
  <w:style w:type="paragraph" w:customStyle="1" w:styleId="BodyText1">
    <w:name w:val="Body Text1"/>
    <w:link w:val="BodytextTegn"/>
    <w:autoRedefine/>
    <w:rsid w:val="00DC0D3F"/>
    <w:pPr>
      <w:numPr>
        <w:numId w:val="28"/>
      </w:numPr>
      <w:spacing w:before="120" w:after="120" w:line="280" w:lineRule="exact"/>
      <w:ind w:right="62"/>
    </w:pPr>
    <w:rPr>
      <w:rFonts w:ascii="Times New Roman" w:eastAsia="Times New Roman" w:hAnsi="Times New Roman" w:cs="Times New Roman"/>
      <w:b/>
      <w:sz w:val="24"/>
      <w:szCs w:val="24"/>
      <w:lang w:eastAsia="da-DK" w:bidi="hi-IN"/>
    </w:rPr>
  </w:style>
  <w:style w:type="character" w:customStyle="1" w:styleId="BodytextTegn">
    <w:name w:val="Body text Tegn"/>
    <w:basedOn w:val="DefaultParagraphFont"/>
    <w:link w:val="BodyText1"/>
    <w:rsid w:val="00DC0D3F"/>
    <w:rPr>
      <w:rFonts w:ascii="Times New Roman" w:eastAsia="Times New Roman" w:hAnsi="Times New Roman" w:cs="Times New Roman"/>
      <w:b/>
      <w:sz w:val="24"/>
      <w:szCs w:val="24"/>
      <w:lang w:eastAsia="da-DK"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15"/>
    <w:pPr>
      <w:spacing w:after="120"/>
    </w:pPr>
    <w:rPr>
      <w:rFonts w:ascii="Times New Roman" w:hAnsi="Times New Roman"/>
      <w:sz w:val="24"/>
    </w:rPr>
  </w:style>
  <w:style w:type="paragraph" w:styleId="Heading1">
    <w:name w:val="heading 1"/>
    <w:basedOn w:val="Normal"/>
    <w:next w:val="Normal"/>
    <w:link w:val="Heading1Char"/>
    <w:uiPriority w:val="9"/>
    <w:qFormat/>
    <w:rsid w:val="000A49FB"/>
    <w:pPr>
      <w:keepNext/>
      <w:keepLines/>
      <w:numPr>
        <w:numId w:val="1"/>
      </w:numPr>
      <w:pBdr>
        <w:top w:val="single" w:sz="4" w:space="1" w:color="808080" w:themeColor="background1" w:themeShade="80"/>
        <w:bottom w:val="single" w:sz="4" w:space="1" w:color="808080" w:themeColor="background1" w:themeShade="80"/>
      </w:pBdr>
      <w:spacing w:before="480" w:after="240"/>
      <w:ind w:left="431" w:hanging="431"/>
      <w:outlineLvl w:val="0"/>
    </w:pPr>
    <w:rPr>
      <w:rFonts w:eastAsiaTheme="majorEastAsia" w:cstheme="majorBidi"/>
      <w:b/>
      <w:bCs/>
      <w:smallCaps/>
      <w:sz w:val="32"/>
      <w:szCs w:val="28"/>
    </w:rPr>
  </w:style>
  <w:style w:type="paragraph" w:styleId="Heading2">
    <w:name w:val="heading 2"/>
    <w:basedOn w:val="Normal"/>
    <w:next w:val="Normal"/>
    <w:link w:val="Heading2Char"/>
    <w:uiPriority w:val="9"/>
    <w:unhideWhenUsed/>
    <w:qFormat/>
    <w:rsid w:val="007566D8"/>
    <w:pPr>
      <w:keepNext/>
      <w:keepLines/>
      <w:numPr>
        <w:ilvl w:val="1"/>
        <w:numId w:val="1"/>
      </w:numPr>
      <w:spacing w:before="200" w:after="0"/>
      <w:outlineLvl w:val="1"/>
    </w:pPr>
    <w:rPr>
      <w:rFonts w:eastAsiaTheme="majorEastAsia" w:cstheme="majorBidi"/>
      <w:b/>
      <w:bCs/>
      <w:smallCaps/>
      <w:sz w:val="28"/>
      <w:szCs w:val="26"/>
    </w:rPr>
  </w:style>
  <w:style w:type="paragraph" w:styleId="Heading3">
    <w:name w:val="heading 3"/>
    <w:basedOn w:val="Normal"/>
    <w:next w:val="Normal"/>
    <w:link w:val="Heading3Char"/>
    <w:uiPriority w:val="9"/>
    <w:unhideWhenUsed/>
    <w:qFormat/>
    <w:rsid w:val="007566D8"/>
    <w:pPr>
      <w:keepNext/>
      <w:keepLines/>
      <w:numPr>
        <w:ilvl w:val="2"/>
        <w:numId w:val="1"/>
      </w:numPr>
      <w:spacing w:before="200" w:after="0"/>
      <w:outlineLvl w:val="2"/>
    </w:pPr>
    <w:rPr>
      <w:rFonts w:eastAsiaTheme="majorEastAsia" w:cstheme="majorBidi"/>
      <w:bCs/>
      <w:smallCaps/>
    </w:rPr>
  </w:style>
  <w:style w:type="paragraph" w:styleId="Heading4">
    <w:name w:val="heading 4"/>
    <w:basedOn w:val="Normal"/>
    <w:next w:val="Normal"/>
    <w:link w:val="Heading4Char"/>
    <w:uiPriority w:val="9"/>
    <w:semiHidden/>
    <w:unhideWhenUsed/>
    <w:qFormat/>
    <w:rsid w:val="007566D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66D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6D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6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6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66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9FB"/>
    <w:rPr>
      <w:rFonts w:ascii="Times New Roman" w:eastAsiaTheme="majorEastAsia" w:hAnsi="Times New Roman" w:cstheme="majorBidi"/>
      <w:b/>
      <w:bCs/>
      <w:smallCaps/>
      <w:sz w:val="32"/>
      <w:szCs w:val="28"/>
    </w:rPr>
  </w:style>
  <w:style w:type="character" w:customStyle="1" w:styleId="Heading2Char">
    <w:name w:val="Heading 2 Char"/>
    <w:basedOn w:val="DefaultParagraphFont"/>
    <w:link w:val="Heading2"/>
    <w:uiPriority w:val="9"/>
    <w:rsid w:val="007566D8"/>
    <w:rPr>
      <w:rFonts w:ascii="Times New Roman" w:eastAsiaTheme="majorEastAsia" w:hAnsi="Times New Roman" w:cstheme="majorBidi"/>
      <w:b/>
      <w:bCs/>
      <w:smallCaps/>
      <w:sz w:val="28"/>
      <w:szCs w:val="26"/>
    </w:rPr>
  </w:style>
  <w:style w:type="character" w:customStyle="1" w:styleId="Heading3Char">
    <w:name w:val="Heading 3 Char"/>
    <w:basedOn w:val="DefaultParagraphFont"/>
    <w:link w:val="Heading3"/>
    <w:uiPriority w:val="9"/>
    <w:rsid w:val="007566D8"/>
    <w:rPr>
      <w:rFonts w:ascii="Times New Roman" w:eastAsiaTheme="majorEastAsia" w:hAnsi="Times New Roman" w:cstheme="majorBidi"/>
      <w:bCs/>
      <w:smallCaps/>
      <w:sz w:val="24"/>
    </w:rPr>
  </w:style>
  <w:style w:type="character" w:customStyle="1" w:styleId="Heading4Char">
    <w:name w:val="Heading 4 Char"/>
    <w:basedOn w:val="DefaultParagraphFont"/>
    <w:link w:val="Heading4"/>
    <w:uiPriority w:val="9"/>
    <w:semiHidden/>
    <w:rsid w:val="007566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66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66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66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66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66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51B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B15"/>
    <w:rPr>
      <w:rFonts w:ascii="Times New Roman" w:hAnsi="Times New Roman"/>
      <w:sz w:val="24"/>
    </w:rPr>
  </w:style>
  <w:style w:type="paragraph" w:styleId="Footer">
    <w:name w:val="footer"/>
    <w:basedOn w:val="Normal"/>
    <w:link w:val="FooterChar"/>
    <w:uiPriority w:val="99"/>
    <w:unhideWhenUsed/>
    <w:rsid w:val="00F51B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1B15"/>
    <w:rPr>
      <w:rFonts w:ascii="Times New Roman" w:hAnsi="Times New Roman"/>
      <w:sz w:val="24"/>
    </w:rPr>
  </w:style>
  <w:style w:type="table" w:styleId="TableGrid">
    <w:name w:val="Table Grid"/>
    <w:basedOn w:val="TableNormal"/>
    <w:uiPriority w:val="59"/>
    <w:rsid w:val="00F51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ill">
    <w:name w:val="Titill"/>
    <w:basedOn w:val="Normal"/>
    <w:qFormat/>
    <w:rsid w:val="00B17204"/>
    <w:pPr>
      <w:spacing w:before="120" w:line="240" w:lineRule="auto"/>
    </w:pPr>
    <w:rPr>
      <w:b/>
      <w:smallCaps/>
      <w:sz w:val="36"/>
    </w:rPr>
  </w:style>
  <w:style w:type="paragraph" w:styleId="BalloonText">
    <w:name w:val="Balloon Text"/>
    <w:basedOn w:val="Normal"/>
    <w:link w:val="BalloonTextChar"/>
    <w:uiPriority w:val="99"/>
    <w:semiHidden/>
    <w:unhideWhenUsed/>
    <w:rsid w:val="002F5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F8"/>
    <w:rPr>
      <w:rFonts w:ascii="Tahoma" w:hAnsi="Tahoma" w:cs="Tahoma"/>
      <w:sz w:val="16"/>
      <w:szCs w:val="16"/>
    </w:rPr>
  </w:style>
  <w:style w:type="character" w:styleId="Hyperlink">
    <w:name w:val="Hyperlink"/>
    <w:basedOn w:val="DefaultParagraphFont"/>
    <w:uiPriority w:val="99"/>
    <w:unhideWhenUsed/>
    <w:rsid w:val="002A0F11"/>
    <w:rPr>
      <w:color w:val="0000FF" w:themeColor="hyperlink"/>
      <w:u w:val="single"/>
    </w:rPr>
  </w:style>
  <w:style w:type="paragraph" w:styleId="ListParagraph">
    <w:name w:val="List Paragraph"/>
    <w:basedOn w:val="Normal"/>
    <w:uiPriority w:val="34"/>
    <w:qFormat/>
    <w:rsid w:val="00DA346D"/>
    <w:pPr>
      <w:ind w:left="720"/>
      <w:contextualSpacing/>
    </w:pPr>
  </w:style>
  <w:style w:type="table" w:customStyle="1" w:styleId="TableGrid1">
    <w:name w:val="Table Grid1"/>
    <w:basedOn w:val="TableNormal"/>
    <w:next w:val="TableGrid"/>
    <w:uiPriority w:val="59"/>
    <w:rsid w:val="00994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94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DE5"/>
    <w:rPr>
      <w:rFonts w:ascii="Times New Roman" w:hAnsi="Times New Roman"/>
      <w:sz w:val="20"/>
      <w:szCs w:val="20"/>
    </w:rPr>
  </w:style>
  <w:style w:type="character" w:styleId="FootnoteReference">
    <w:name w:val="footnote reference"/>
    <w:basedOn w:val="DefaultParagraphFont"/>
    <w:uiPriority w:val="99"/>
    <w:semiHidden/>
    <w:unhideWhenUsed/>
    <w:rsid w:val="00994DE5"/>
    <w:rPr>
      <w:vertAlign w:val="superscript"/>
    </w:rPr>
  </w:style>
  <w:style w:type="paragraph" w:customStyle="1" w:styleId="Headline2">
    <w:name w:val="Headline 2"/>
    <w:basedOn w:val="Headline1"/>
    <w:autoRedefine/>
    <w:rsid w:val="006302AA"/>
    <w:pPr>
      <w:keepNext w:val="0"/>
      <w:pageBreakBefore w:val="0"/>
      <w:numPr>
        <w:ilvl w:val="1"/>
      </w:numPr>
      <w:spacing w:before="360" w:after="240" w:line="320" w:lineRule="exact"/>
      <w:ind w:left="578" w:hanging="578"/>
    </w:pPr>
    <w:rPr>
      <w:rFonts w:ascii="Times New Roman" w:hAnsi="Times New Roman"/>
      <w:sz w:val="28"/>
      <w:lang w:val="en-GB"/>
    </w:rPr>
  </w:style>
  <w:style w:type="paragraph" w:customStyle="1" w:styleId="Headline3">
    <w:name w:val="Headline 3"/>
    <w:autoRedefine/>
    <w:rsid w:val="006302AA"/>
    <w:pPr>
      <w:keepNext/>
      <w:numPr>
        <w:ilvl w:val="2"/>
        <w:numId w:val="15"/>
      </w:numPr>
      <w:suppressAutoHyphens/>
      <w:spacing w:before="440" w:after="120" w:line="280" w:lineRule="exact"/>
    </w:pPr>
    <w:rPr>
      <w:rFonts w:ascii="Times New Roman" w:eastAsia="Times New Roman" w:hAnsi="Times New Roman" w:cs="Times New Roman"/>
      <w:i/>
      <w:szCs w:val="20"/>
      <w:lang w:val="en-US" w:eastAsia="da-DK"/>
    </w:rPr>
  </w:style>
  <w:style w:type="paragraph" w:customStyle="1" w:styleId="Headline1">
    <w:name w:val="Headline 1"/>
    <w:basedOn w:val="Normal"/>
    <w:autoRedefine/>
    <w:rsid w:val="006302AA"/>
    <w:pPr>
      <w:keepNext/>
      <w:pageBreakBefore/>
      <w:numPr>
        <w:numId w:val="15"/>
      </w:numPr>
      <w:tabs>
        <w:tab w:val="left" w:pos="680"/>
      </w:tabs>
      <w:suppressAutoHyphens/>
      <w:spacing w:after="1120" w:line="440" w:lineRule="exact"/>
      <w:ind w:left="431" w:hanging="431"/>
    </w:pPr>
    <w:rPr>
      <w:rFonts w:ascii="TimesNewRoman" w:eastAsia="Times New Roman" w:hAnsi="TimesNewRoman" w:cs="Times New Roman"/>
      <w:sz w:val="48"/>
      <w:szCs w:val="20"/>
      <w:lang w:val="de-DE" w:eastAsia="da-DK"/>
    </w:rPr>
  </w:style>
  <w:style w:type="paragraph" w:customStyle="1" w:styleId="Headline5">
    <w:name w:val="Headline5"/>
    <w:basedOn w:val="Normal"/>
    <w:autoRedefine/>
    <w:rsid w:val="006302AA"/>
    <w:pPr>
      <w:spacing w:before="120" w:line="280" w:lineRule="exact"/>
      <w:ind w:right="62"/>
    </w:pPr>
    <w:rPr>
      <w:rFonts w:eastAsia="Times New Roman" w:cs="Times New Roman"/>
      <w:b/>
      <w:i/>
      <w:lang w:val="en-GB" w:eastAsia="da-DK" w:bidi="hi-IN"/>
    </w:rPr>
  </w:style>
  <w:style w:type="paragraph" w:customStyle="1" w:styleId="Bulletpoints">
    <w:name w:val="Bullet points"/>
    <w:basedOn w:val="Normal"/>
    <w:autoRedefine/>
    <w:rsid w:val="00DC0D3F"/>
    <w:pPr>
      <w:numPr>
        <w:numId w:val="27"/>
      </w:numPr>
      <w:suppressAutoHyphens/>
      <w:spacing w:before="120" w:line="280" w:lineRule="exact"/>
      <w:ind w:right="62"/>
    </w:pPr>
    <w:rPr>
      <w:rFonts w:eastAsia="Times New Roman" w:cs="Times New Roman"/>
      <w:b/>
      <w:szCs w:val="24"/>
      <w:lang w:eastAsia="da-DK" w:bidi="hi-IN"/>
    </w:rPr>
  </w:style>
  <w:style w:type="paragraph" w:customStyle="1" w:styleId="Bulletpoints2">
    <w:name w:val="Bullet points 2"/>
    <w:basedOn w:val="Normal"/>
    <w:autoRedefine/>
    <w:rsid w:val="006302AA"/>
    <w:pPr>
      <w:numPr>
        <w:numId w:val="19"/>
      </w:numPr>
      <w:autoSpaceDE w:val="0"/>
      <w:autoSpaceDN w:val="0"/>
      <w:adjustRightInd w:val="0"/>
      <w:spacing w:after="0" w:line="300" w:lineRule="atLeast"/>
      <w:ind w:right="50"/>
    </w:pPr>
    <w:rPr>
      <w:rFonts w:eastAsia="Times New Roman" w:cs="Times New Roman"/>
      <w:bCs/>
      <w:sz w:val="22"/>
      <w:szCs w:val="20"/>
      <w:lang w:val="en-GB" w:eastAsia="fr-FR" w:bidi="hi-IN"/>
    </w:rPr>
  </w:style>
  <w:style w:type="paragraph" w:customStyle="1" w:styleId="Bulletpoints3">
    <w:name w:val="Bullet points 3"/>
    <w:basedOn w:val="Bulletpoints2"/>
    <w:autoRedefine/>
    <w:rsid w:val="006302AA"/>
    <w:pPr>
      <w:numPr>
        <w:numId w:val="20"/>
      </w:numPr>
      <w:ind w:left="1985" w:hanging="284"/>
    </w:pPr>
  </w:style>
  <w:style w:type="paragraph" w:customStyle="1" w:styleId="Bulletpointsteksti">
    <w:name w:val="Bullet points teksti"/>
    <w:basedOn w:val="Normal"/>
    <w:autoRedefine/>
    <w:rsid w:val="006302AA"/>
    <w:pPr>
      <w:spacing w:before="120" w:line="320" w:lineRule="atLeast"/>
      <w:ind w:left="315"/>
    </w:pPr>
    <w:rPr>
      <w:rFonts w:eastAsia="Times New Roman" w:cs="Times New Roman"/>
      <w:sz w:val="22"/>
      <w:lang w:val="en-US"/>
    </w:rPr>
  </w:style>
  <w:style w:type="paragraph" w:customStyle="1" w:styleId="BodyText1">
    <w:name w:val="Body Text1"/>
    <w:link w:val="BodytextTegn"/>
    <w:autoRedefine/>
    <w:rsid w:val="00DC0D3F"/>
    <w:pPr>
      <w:numPr>
        <w:numId w:val="28"/>
      </w:numPr>
      <w:spacing w:before="120" w:after="120" w:line="280" w:lineRule="exact"/>
      <w:ind w:right="62"/>
    </w:pPr>
    <w:rPr>
      <w:rFonts w:ascii="Times New Roman" w:eastAsia="Times New Roman" w:hAnsi="Times New Roman" w:cs="Times New Roman"/>
      <w:b/>
      <w:sz w:val="24"/>
      <w:szCs w:val="24"/>
      <w:lang w:eastAsia="da-DK" w:bidi="hi-IN"/>
    </w:rPr>
  </w:style>
  <w:style w:type="character" w:customStyle="1" w:styleId="BodytextTegn">
    <w:name w:val="Body text Tegn"/>
    <w:basedOn w:val="DefaultParagraphFont"/>
    <w:link w:val="BodyText1"/>
    <w:rsid w:val="00DC0D3F"/>
    <w:rPr>
      <w:rFonts w:ascii="Times New Roman" w:eastAsia="Times New Roman" w:hAnsi="Times New Roman" w:cs="Times New Roman"/>
      <w:b/>
      <w:sz w:val="24"/>
      <w:szCs w:val="24"/>
      <w:lang w:eastAsia="da-DK"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n.i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Alta ehf</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Alta</cp:lastModifiedBy>
  <cp:revision>9</cp:revision>
  <cp:lastPrinted>2012-08-01T12:02:00Z</cp:lastPrinted>
  <dcterms:created xsi:type="dcterms:W3CDTF">2012-07-31T15:17:00Z</dcterms:created>
  <dcterms:modified xsi:type="dcterms:W3CDTF">2012-08-01T12:02:00Z</dcterms:modified>
</cp:coreProperties>
</file>