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487"/>
        <w:gridCol w:w="1011"/>
        <w:gridCol w:w="1728"/>
      </w:tblGrid>
      <w:tr w:rsidR="00F51B15" w:rsidTr="000A49FB">
        <w:trPr>
          <w:trHeight w:val="680"/>
        </w:trPr>
        <w:tc>
          <w:tcPr>
            <w:tcW w:w="6487" w:type="dxa"/>
            <w:vMerge w:val="restart"/>
            <w:vAlign w:val="center"/>
          </w:tcPr>
          <w:p w:rsidR="00F51B15" w:rsidRPr="000A49FB" w:rsidRDefault="00546777" w:rsidP="000A49FB">
            <w:pPr>
              <w:pStyle w:val="Titill"/>
            </w:pPr>
            <w:r>
              <w:t>Prentþjónusta</w:t>
            </w:r>
            <w:r w:rsidR="00F51B15" w:rsidRPr="000A49FB">
              <w:t xml:space="preserve"> - umhverfisskilyrði</w:t>
            </w:r>
          </w:p>
        </w:tc>
        <w:tc>
          <w:tcPr>
            <w:tcW w:w="1011" w:type="dxa"/>
            <w:vAlign w:val="bottom"/>
          </w:tcPr>
          <w:p w:rsidR="00F51B15" w:rsidRDefault="00F51B15">
            <w:r>
              <w:t>Dags.</w:t>
            </w:r>
          </w:p>
        </w:tc>
        <w:tc>
          <w:tcPr>
            <w:tcW w:w="1728" w:type="dxa"/>
            <w:vAlign w:val="bottom"/>
          </w:tcPr>
          <w:p w:rsidR="00F51B15" w:rsidRDefault="00F51B15" w:rsidP="00546777">
            <w:pPr>
              <w:jc w:val="right"/>
            </w:pPr>
            <w:r>
              <w:t>201</w:t>
            </w:r>
            <w:r w:rsidR="00546777">
              <w:t>2</w:t>
            </w:r>
            <w:r>
              <w:t>-</w:t>
            </w:r>
            <w:r w:rsidR="00546777">
              <w:t>08</w:t>
            </w:r>
            <w:r>
              <w:t>-</w:t>
            </w:r>
            <w:r w:rsidR="00546777">
              <w:t>30</w:t>
            </w:r>
          </w:p>
        </w:tc>
      </w:tr>
      <w:tr w:rsidR="00F51B15" w:rsidTr="000A49FB">
        <w:trPr>
          <w:trHeight w:val="680"/>
        </w:trPr>
        <w:tc>
          <w:tcPr>
            <w:tcW w:w="6487" w:type="dxa"/>
            <w:vMerge/>
            <w:vAlign w:val="center"/>
          </w:tcPr>
          <w:p w:rsidR="00F51B15" w:rsidRDefault="00F51B15"/>
        </w:tc>
        <w:tc>
          <w:tcPr>
            <w:tcW w:w="1011" w:type="dxa"/>
            <w:vAlign w:val="bottom"/>
          </w:tcPr>
          <w:p w:rsidR="00F51B15" w:rsidRDefault="00F51B15">
            <w:r>
              <w:t>Útgáfa</w:t>
            </w:r>
          </w:p>
        </w:tc>
        <w:tc>
          <w:tcPr>
            <w:tcW w:w="1728" w:type="dxa"/>
            <w:vAlign w:val="bottom"/>
          </w:tcPr>
          <w:p w:rsidR="00F51B15" w:rsidRDefault="000A49FB" w:rsidP="00546777">
            <w:pPr>
              <w:jc w:val="right"/>
            </w:pPr>
            <w:r>
              <w:t>1.</w:t>
            </w:r>
            <w:r w:rsidR="00546777">
              <w:t>1</w:t>
            </w:r>
          </w:p>
        </w:tc>
      </w:tr>
    </w:tbl>
    <w:p w:rsidR="007566D8" w:rsidRPr="00F51B15" w:rsidRDefault="000A49FB" w:rsidP="00994DE5">
      <w:pPr>
        <w:pStyle w:val="Heading1"/>
        <w:numPr>
          <w:ilvl w:val="0"/>
          <w:numId w:val="0"/>
        </w:numPr>
        <w:ind w:left="431" w:hanging="431"/>
      </w:pPr>
      <w:r>
        <w:t>V</w:t>
      </w:r>
      <w:r w:rsidR="007566D8" w:rsidRPr="00F51B15">
        <w:t>iðfangsefni og gildissvið</w:t>
      </w:r>
    </w:p>
    <w:p w:rsidR="002A0F11" w:rsidRDefault="002A0F11" w:rsidP="002A0F11">
      <w:r>
        <w:t xml:space="preserve">Umhverfisskilyrðin eru sett fram á vegum verkefnisins Vistvæn innkaup sem er samstarfsverkefni ríkis og sveitarfélaga, sjá nánar á </w:t>
      </w:r>
      <w:hyperlink r:id="rId8" w:history="1">
        <w:r w:rsidRPr="00E06B88">
          <w:rPr>
            <w:rStyle w:val="Hyperlink"/>
          </w:rPr>
          <w:t>www.vinn.is</w:t>
        </w:r>
      </w:hyperlink>
      <w:r>
        <w:t xml:space="preserve">. </w:t>
      </w:r>
    </w:p>
    <w:p w:rsidR="00546777" w:rsidRPr="00E459C7" w:rsidRDefault="00546777" w:rsidP="00546777">
      <w:pPr>
        <w:keepLines/>
        <w:widowControl w:val="0"/>
        <w:autoSpaceDE w:val="0"/>
        <w:autoSpaceDN w:val="0"/>
        <w:adjustRightInd w:val="0"/>
        <w:spacing w:before="120"/>
      </w:pPr>
      <w:r w:rsidRPr="00E459C7">
        <w:t>Viðmiðin eru byggð á viðmiðum umhverfismerkja eins og norræna Svaninum</w:t>
      </w:r>
      <w:r>
        <w:t xml:space="preserve"> og </w:t>
      </w:r>
      <w:r w:rsidRPr="00E459C7">
        <w:t xml:space="preserve">Evrópublóminu. Sé vara vottuð  með einhverju þessara umhverfismerkja er </w:t>
      </w:r>
      <w:r>
        <w:t>það fullnægjandi sönnun á því</w:t>
      </w:r>
      <w:r w:rsidRPr="00E459C7">
        <w:t xml:space="preserve"> að viðmiðin í þessu skjali séu uppfyllt.</w:t>
      </w:r>
    </w:p>
    <w:p w:rsidR="00546777" w:rsidRPr="00E459C7" w:rsidRDefault="00546777" w:rsidP="00546777">
      <w:pPr>
        <w:keepLines/>
        <w:widowControl w:val="0"/>
        <w:autoSpaceDE w:val="0"/>
        <w:autoSpaceDN w:val="0"/>
        <w:adjustRightInd w:val="0"/>
        <w:spacing w:before="120"/>
        <w:jc w:val="center"/>
      </w:pPr>
      <w:r w:rsidRPr="00E459C7">
        <w:rPr>
          <w:noProof/>
          <w:lang w:eastAsia="is-IS"/>
        </w:rPr>
        <w:drawing>
          <wp:inline distT="0" distB="0" distL="0" distR="0" wp14:anchorId="2D368B1B" wp14:editId="2083499A">
            <wp:extent cx="594328" cy="599988"/>
            <wp:effectExtent l="0" t="0" r="0" b="0"/>
            <wp:docPr id="4" name="Picture 1" descr="Svansmerki_RGB_enginn-texti_200x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ansmerki_RGB_enginn-texti_200x201"/>
                    <pic:cNvPicPr>
                      <a:picLocks noChangeAspect="1" noChangeArrowheads="1"/>
                    </pic:cNvPicPr>
                  </pic:nvPicPr>
                  <pic:blipFill>
                    <a:blip r:embed="rId9" cstate="print"/>
                    <a:srcRect/>
                    <a:stretch>
                      <a:fillRect/>
                    </a:stretch>
                  </pic:blipFill>
                  <pic:spPr bwMode="auto">
                    <a:xfrm>
                      <a:off x="0" y="0"/>
                      <a:ext cx="594539" cy="600201"/>
                    </a:xfrm>
                    <a:prstGeom prst="rect">
                      <a:avLst/>
                    </a:prstGeom>
                    <a:noFill/>
                    <a:ln w="9525">
                      <a:noFill/>
                      <a:miter lim="800000"/>
                      <a:headEnd/>
                      <a:tailEnd/>
                    </a:ln>
                  </pic:spPr>
                </pic:pic>
              </a:graphicData>
            </a:graphic>
          </wp:inline>
        </w:drawing>
      </w:r>
      <w:r w:rsidRPr="00E459C7">
        <w:t xml:space="preserve">               </w:t>
      </w:r>
      <w:r w:rsidRPr="00E459C7">
        <w:rPr>
          <w:noProof/>
          <w:lang w:eastAsia="is-IS"/>
        </w:rPr>
        <w:drawing>
          <wp:inline distT="0" distB="0" distL="0" distR="0" wp14:anchorId="67AB54A9" wp14:editId="32DBCEAE">
            <wp:extent cx="569343" cy="569343"/>
            <wp:effectExtent l="0" t="0" r="2540" b="2540"/>
            <wp:docPr id="3" name="Picture 3" descr="blomid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mid_250"/>
                    <pic:cNvPicPr>
                      <a:picLocks noChangeAspect="1" noChangeArrowheads="1"/>
                    </pic:cNvPicPr>
                  </pic:nvPicPr>
                  <pic:blipFill>
                    <a:blip r:embed="rId10" cstate="print"/>
                    <a:srcRect/>
                    <a:stretch>
                      <a:fillRect/>
                    </a:stretch>
                  </pic:blipFill>
                  <pic:spPr bwMode="auto">
                    <a:xfrm>
                      <a:off x="0" y="0"/>
                      <a:ext cx="567017" cy="567017"/>
                    </a:xfrm>
                    <a:prstGeom prst="rect">
                      <a:avLst/>
                    </a:prstGeom>
                    <a:noFill/>
                    <a:ln w="9525">
                      <a:noFill/>
                      <a:miter lim="800000"/>
                      <a:headEnd/>
                      <a:tailEnd/>
                    </a:ln>
                  </pic:spPr>
                </pic:pic>
              </a:graphicData>
            </a:graphic>
          </wp:inline>
        </w:drawing>
      </w:r>
      <w:r w:rsidRPr="00E459C7">
        <w:rPr>
          <w:noProof/>
          <w:lang w:eastAsia="is-IS"/>
        </w:rPr>
        <w:t xml:space="preserve">                </w:t>
      </w:r>
    </w:p>
    <w:p w:rsidR="00546777" w:rsidRDefault="00546777" w:rsidP="00DA346D"/>
    <w:p w:rsidR="00DA346D" w:rsidRDefault="00DA346D" w:rsidP="00DA346D">
      <w:r>
        <w:t>Grunn- og ítarviðmiðin samanstanda af lágmarksskilyrðum og matsviðmiðum:</w:t>
      </w:r>
    </w:p>
    <w:p w:rsidR="00DA346D" w:rsidRDefault="00DA346D" w:rsidP="00DA346D">
      <w:r w:rsidRPr="000B4048">
        <w:rPr>
          <w:b/>
        </w:rPr>
        <w:t>Lágmarksskilyrði</w:t>
      </w:r>
      <w:r>
        <w:t>; eru ófrávíkjanleg skilyrði sem boðin vara eða þjónusta skal uppfylla til að tilboð verði tekið til nánari skoðunar.</w:t>
      </w:r>
    </w:p>
    <w:p w:rsidR="002A0F11" w:rsidRPr="00DD1129" w:rsidRDefault="00DA346D" w:rsidP="00DA346D">
      <w:r w:rsidRPr="000B4048">
        <w:rPr>
          <w:b/>
        </w:rPr>
        <w:t>Matsviðmið</w:t>
      </w:r>
      <w:r>
        <w:t>;</w:t>
      </w:r>
      <w:r w:rsidRPr="00F55608">
        <w:t xml:space="preserve"> </w:t>
      </w:r>
      <w:r>
        <w:t>má nota</w:t>
      </w:r>
      <w:r w:rsidRPr="00DD1129">
        <w:t xml:space="preserve"> ef útboðsaðili vill veita tilboði aukastig sem stendur sig betur en lágmarksskilyrðin segja til um varðandi umhverfis-</w:t>
      </w:r>
      <w:r>
        <w:t xml:space="preserve"> </w:t>
      </w:r>
      <w:r w:rsidRPr="00DD1129">
        <w:t>og gæðaþætti. Í stigamatsgjöf geta matsviðmið fyrir umhverfisþætti veg</w:t>
      </w:r>
      <w:r>
        <w:t>ið 10 til 15% af heildareinkunn</w:t>
      </w:r>
      <w:r w:rsidRPr="00DD1129">
        <w:t>.</w:t>
      </w:r>
      <w:r w:rsidR="002A0F11">
        <w:t xml:space="preserve"> </w:t>
      </w:r>
    </w:p>
    <w:p w:rsidR="007566D8" w:rsidRDefault="00690E3B" w:rsidP="002A0F11">
      <w:pPr>
        <w:rPr>
          <w:i/>
        </w:rPr>
      </w:pPr>
      <w:r>
        <w:rPr>
          <w:i/>
        </w:rPr>
        <w:t>M</w:t>
      </w:r>
      <w:r w:rsidRPr="00690E3B">
        <w:rPr>
          <w:i/>
        </w:rPr>
        <w:t xml:space="preserve">atsviðmið er </w:t>
      </w:r>
      <w:r>
        <w:rPr>
          <w:i/>
        </w:rPr>
        <w:t xml:space="preserve">ekki </w:t>
      </w:r>
      <w:r w:rsidRPr="00690E3B">
        <w:rPr>
          <w:i/>
        </w:rPr>
        <w:t xml:space="preserve">að finna </w:t>
      </w:r>
      <w:r>
        <w:rPr>
          <w:i/>
        </w:rPr>
        <w:t>í þessum umhverfisskilyrðum.</w:t>
      </w:r>
    </w:p>
    <w:p w:rsidR="00690E3B" w:rsidRPr="00690E3B" w:rsidRDefault="00690E3B" w:rsidP="002A0F11">
      <w:pPr>
        <w:rPr>
          <w:i/>
        </w:rPr>
      </w:pPr>
    </w:p>
    <w:p w:rsidR="007566D8" w:rsidRPr="00F51B15" w:rsidRDefault="00F404FF" w:rsidP="007D3928">
      <w:pPr>
        <w:pStyle w:val="Heading1"/>
        <w:numPr>
          <w:ilvl w:val="0"/>
          <w:numId w:val="0"/>
        </w:numPr>
        <w:ind w:left="431" w:hanging="431"/>
      </w:pPr>
      <w:r>
        <w:t>Helstu umhverfisáhrif</w:t>
      </w:r>
    </w:p>
    <w:tbl>
      <w:tblPr>
        <w:tblStyle w:val="TableGrid"/>
        <w:tblW w:w="0" w:type="auto"/>
        <w:tblLook w:val="04A0" w:firstRow="1" w:lastRow="0" w:firstColumn="1" w:lastColumn="0" w:noHBand="0" w:noVBand="1"/>
      </w:tblPr>
      <w:tblGrid>
        <w:gridCol w:w="4660"/>
        <w:gridCol w:w="4628"/>
      </w:tblGrid>
      <w:tr w:rsidR="007D3928" w:rsidTr="00980979">
        <w:tc>
          <w:tcPr>
            <w:tcW w:w="7072" w:type="dxa"/>
          </w:tcPr>
          <w:p w:rsidR="007D3928" w:rsidRDefault="007D3928" w:rsidP="00980979">
            <w:pPr>
              <w:rPr>
                <w:b/>
              </w:rPr>
            </w:pPr>
            <w:r>
              <w:rPr>
                <w:b/>
              </w:rPr>
              <w:t>Helstu umhverfisáhrif</w:t>
            </w:r>
          </w:p>
        </w:tc>
        <w:tc>
          <w:tcPr>
            <w:tcW w:w="7072" w:type="dxa"/>
          </w:tcPr>
          <w:p w:rsidR="007D3928" w:rsidRDefault="00546777" w:rsidP="00980979">
            <w:pPr>
              <w:rPr>
                <w:b/>
              </w:rPr>
            </w:pPr>
            <w:r>
              <w:rPr>
                <w:b/>
              </w:rPr>
              <w:t xml:space="preserve">Nálgun </w:t>
            </w:r>
          </w:p>
        </w:tc>
      </w:tr>
      <w:tr w:rsidR="007D3928" w:rsidTr="00980979">
        <w:tc>
          <w:tcPr>
            <w:tcW w:w="7072" w:type="dxa"/>
          </w:tcPr>
          <w:p w:rsidR="00546777" w:rsidRPr="00546777" w:rsidRDefault="00546777" w:rsidP="00546777">
            <w:pPr>
              <w:pStyle w:val="ListParagraph"/>
              <w:numPr>
                <w:ilvl w:val="0"/>
                <w:numId w:val="17"/>
              </w:numPr>
              <w:rPr>
                <w:sz w:val="22"/>
              </w:rPr>
            </w:pPr>
            <w:r w:rsidRPr="002A2133">
              <w:t>Eyðing skóga og mögulega áhrif á líffræðilegan fjölbreytileika</w:t>
            </w:r>
            <w:r>
              <w:t>.</w:t>
            </w:r>
          </w:p>
          <w:p w:rsidR="00546777" w:rsidRPr="00546777" w:rsidRDefault="00546777" w:rsidP="00546777">
            <w:pPr>
              <w:pStyle w:val="ListParagraph"/>
              <w:numPr>
                <w:ilvl w:val="0"/>
                <w:numId w:val="17"/>
              </w:numPr>
              <w:rPr>
                <w:sz w:val="22"/>
              </w:rPr>
            </w:pPr>
            <w:r w:rsidRPr="00F43E05">
              <w:rPr>
                <w:i/>
                <w:noProof/>
                <w:lang w:eastAsia="is-IS"/>
              </w:rPr>
              <mc:AlternateContent>
                <mc:Choice Requires="wps">
                  <w:drawing>
                    <wp:anchor distT="0" distB="0" distL="114300" distR="114300" simplePos="0" relativeHeight="251659264" behindDoc="0" locked="0" layoutInCell="1" allowOverlap="1" wp14:anchorId="73DE4D66" wp14:editId="324C4195">
                      <wp:simplePos x="0" y="0"/>
                      <wp:positionH relativeFrom="column">
                        <wp:posOffset>2593340</wp:posOffset>
                      </wp:positionH>
                      <wp:positionV relativeFrom="paragraph">
                        <wp:posOffset>269240</wp:posOffset>
                      </wp:positionV>
                      <wp:extent cx="572135" cy="396875"/>
                      <wp:effectExtent l="19050" t="19050" r="37465" b="41275"/>
                      <wp:wrapNone/>
                      <wp:docPr id="1" name="Notch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135" cy="396875"/>
                              </a:xfrm>
                              <a:prstGeom prst="notchedRightArrow">
                                <a:avLst/>
                              </a:prstGeom>
                              <a:solidFill>
                                <a:srgbClr val="92D05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6" type="#_x0000_t94" style="position:absolute;margin-left:204.2pt;margin-top:21.2pt;width:45.0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" adj="14108" fillcolor="#92d050" strokecolor="black [3213]" strokeweight=".25pt">
                      <v:path arrowok="t"/>
                    </v:shape>
                  </w:pict>
                </mc:Fallback>
              </mc:AlternateContent>
            </w:r>
            <w:r w:rsidRPr="002A2133">
              <w:t xml:space="preserve">Losun </w:t>
            </w:r>
            <w:r>
              <w:t xml:space="preserve">óæskilegra efna </w:t>
            </w:r>
            <w:r w:rsidRPr="002A2133">
              <w:t>í vatn og andrúmsloft við pappírsframleiðslu</w:t>
            </w:r>
            <w:r>
              <w:t>.</w:t>
            </w:r>
          </w:p>
          <w:p w:rsidR="00546777" w:rsidRPr="00546777" w:rsidRDefault="00546777" w:rsidP="00546777">
            <w:pPr>
              <w:pStyle w:val="ListParagraph"/>
              <w:numPr>
                <w:ilvl w:val="0"/>
                <w:numId w:val="17"/>
              </w:numPr>
              <w:rPr>
                <w:sz w:val="22"/>
              </w:rPr>
            </w:pPr>
            <w:r w:rsidRPr="002A2133">
              <w:t xml:space="preserve">Orku- og vatnsnotkun </w:t>
            </w:r>
          </w:p>
          <w:p w:rsidR="00546777" w:rsidRPr="00546777" w:rsidRDefault="00546777" w:rsidP="00546777">
            <w:pPr>
              <w:pStyle w:val="ListParagraph"/>
              <w:numPr>
                <w:ilvl w:val="0"/>
                <w:numId w:val="17"/>
              </w:numPr>
              <w:rPr>
                <w:sz w:val="22"/>
              </w:rPr>
            </w:pPr>
            <w:r w:rsidRPr="002A2133">
              <w:t xml:space="preserve">Efnanotkun </w:t>
            </w:r>
          </w:p>
          <w:p w:rsidR="007D3928" w:rsidRPr="00546777" w:rsidRDefault="00546777" w:rsidP="00546777">
            <w:pPr>
              <w:pStyle w:val="ListParagraph"/>
              <w:numPr>
                <w:ilvl w:val="0"/>
                <w:numId w:val="17"/>
              </w:numPr>
              <w:rPr>
                <w:rFonts w:cs="Times New Roman"/>
                <w:i/>
                <w:szCs w:val="24"/>
              </w:rPr>
            </w:pPr>
            <w:r>
              <w:t>Myndun úrgangsefna</w:t>
            </w:r>
            <w:r w:rsidRPr="002A2133">
              <w:t xml:space="preserve"> við framleiðslu og notkun.</w:t>
            </w:r>
          </w:p>
        </w:tc>
        <w:tc>
          <w:tcPr>
            <w:tcW w:w="7072" w:type="dxa"/>
          </w:tcPr>
          <w:p w:rsidR="00546777" w:rsidRPr="002A2133" w:rsidRDefault="00546777" w:rsidP="00546777">
            <w:pPr>
              <w:pStyle w:val="ListParagraph"/>
              <w:numPr>
                <w:ilvl w:val="0"/>
                <w:numId w:val="17"/>
              </w:numPr>
            </w:pPr>
            <w:r w:rsidRPr="002A2133">
              <w:t>Kaup á pappír sem er unninn úr notuðum, endurunnum pappír</w:t>
            </w:r>
            <w:r>
              <w:t xml:space="preserve"> </w:t>
            </w:r>
            <w:r w:rsidRPr="002A2133">
              <w:t xml:space="preserve">eða pappír unninn úr löglegum og/eða </w:t>
            </w:r>
            <w:r>
              <w:t xml:space="preserve">trefjum úr </w:t>
            </w:r>
            <w:r w:rsidRPr="002A2133">
              <w:t>sjálfbær</w:t>
            </w:r>
            <w:r>
              <w:t>ri skógrækt</w:t>
            </w:r>
            <w:r w:rsidRPr="002A2133">
              <w:t>.</w:t>
            </w:r>
          </w:p>
          <w:p w:rsidR="00546777" w:rsidRPr="002A2133" w:rsidRDefault="00546777" w:rsidP="00546777">
            <w:pPr>
              <w:pStyle w:val="ListParagraph"/>
              <w:numPr>
                <w:ilvl w:val="0"/>
                <w:numId w:val="17"/>
              </w:numPr>
            </w:pPr>
            <w:r w:rsidRPr="002A2133">
              <w:t>Kaup á pappír þar sem framleiðslan los</w:t>
            </w:r>
            <w:r>
              <w:t>ar lítið af</w:t>
            </w:r>
            <w:r w:rsidRPr="002A2133">
              <w:t xml:space="preserve"> </w:t>
            </w:r>
            <w:r>
              <w:t xml:space="preserve">úrgangsefnum </w:t>
            </w:r>
            <w:r w:rsidRPr="002A2133">
              <w:t xml:space="preserve">og </w:t>
            </w:r>
            <w:r>
              <w:t>er orkunýtin</w:t>
            </w:r>
            <w:r w:rsidRPr="002A2133">
              <w:t>.</w:t>
            </w:r>
          </w:p>
          <w:p w:rsidR="007D3928" w:rsidRPr="00546777" w:rsidRDefault="00546777" w:rsidP="00546777">
            <w:pPr>
              <w:pStyle w:val="ListParagraph"/>
              <w:numPr>
                <w:ilvl w:val="0"/>
                <w:numId w:val="17"/>
              </w:numPr>
            </w:pPr>
            <w:r w:rsidRPr="002A2133">
              <w:t xml:space="preserve">Forðast notkun </w:t>
            </w:r>
            <w:r>
              <w:t>tiltekinna</w:t>
            </w:r>
            <w:r w:rsidRPr="002A2133">
              <w:t xml:space="preserve"> efna í pappírsframleiðslu og við bleikingu pappírs.</w:t>
            </w:r>
          </w:p>
        </w:tc>
      </w:tr>
    </w:tbl>
    <w:p w:rsidR="00F404FF" w:rsidRDefault="0076297B" w:rsidP="00F404FF">
      <w:pPr>
        <w:pStyle w:val="Heading1"/>
      </w:pPr>
      <w:r>
        <w:lastRenderedPageBreak/>
        <w:t>Prentþjónusta</w:t>
      </w:r>
    </w:p>
    <w:tbl>
      <w:tblPr>
        <w:tblStyle w:val="TableGrid1"/>
        <w:tblW w:w="9180" w:type="dxa"/>
        <w:tblLayout w:type="fixed"/>
        <w:tblLook w:val="04A0" w:firstRow="1" w:lastRow="0" w:firstColumn="1" w:lastColumn="0" w:noHBand="0" w:noVBand="1"/>
      </w:tblPr>
      <w:tblGrid>
        <w:gridCol w:w="9180"/>
      </w:tblGrid>
      <w:tr w:rsidR="00546777" w:rsidRPr="00994DE5" w:rsidTr="00546777">
        <w:tc>
          <w:tcPr>
            <w:tcW w:w="9180" w:type="dxa"/>
            <w:shd w:val="clear" w:color="auto" w:fill="FFFF00"/>
          </w:tcPr>
          <w:p w:rsidR="00546777" w:rsidRPr="00B17204" w:rsidRDefault="00546777" w:rsidP="00B17204">
            <w:pPr>
              <w:pStyle w:val="Titill"/>
            </w:pPr>
            <w:r w:rsidRPr="00B17204">
              <w:t>Grunnviðmið</w:t>
            </w:r>
          </w:p>
        </w:tc>
      </w:tr>
      <w:tr w:rsidR="00546777" w:rsidRPr="00994DE5" w:rsidTr="00546777">
        <w:tc>
          <w:tcPr>
            <w:tcW w:w="9180" w:type="dxa"/>
            <w:shd w:val="clear" w:color="auto" w:fill="92D050"/>
          </w:tcPr>
          <w:p w:rsidR="00546777" w:rsidRPr="00994DE5" w:rsidRDefault="00546777" w:rsidP="00994DE5">
            <w:pPr>
              <w:spacing w:line="276" w:lineRule="auto"/>
              <w:rPr>
                <w:b/>
              </w:rPr>
            </w:pPr>
            <w:r w:rsidRPr="00994DE5">
              <w:rPr>
                <w:b/>
              </w:rPr>
              <w:t>LÁGMARKSSKILYRÐI</w:t>
            </w:r>
          </w:p>
        </w:tc>
      </w:tr>
      <w:tr w:rsidR="00546777" w:rsidRPr="00994DE5" w:rsidTr="00546777">
        <w:tc>
          <w:tcPr>
            <w:tcW w:w="9180" w:type="dxa"/>
          </w:tcPr>
          <w:p w:rsidR="00546777" w:rsidRPr="00C6249A" w:rsidRDefault="00546777" w:rsidP="00546777">
            <w:pPr>
              <w:widowControl w:val="0"/>
              <w:autoSpaceDE w:val="0"/>
              <w:autoSpaceDN w:val="0"/>
              <w:adjustRightInd w:val="0"/>
              <w:spacing w:before="120"/>
              <w:rPr>
                <w:b/>
              </w:rPr>
            </w:pPr>
            <w:r w:rsidRPr="004C78E1">
              <w:rPr>
                <w:b/>
                <w:sz w:val="22"/>
              </w:rPr>
              <w:t>1.</w:t>
            </w:r>
            <w:r>
              <w:rPr>
                <w:sz w:val="22"/>
              </w:rPr>
              <w:t xml:space="preserve"> </w:t>
            </w:r>
            <w:r w:rsidR="00690E3B">
              <w:rPr>
                <w:b/>
              </w:rPr>
              <w:t xml:space="preserve">Hráefni í </w:t>
            </w:r>
            <w:r w:rsidRPr="00C6249A">
              <w:rPr>
                <w:b/>
              </w:rPr>
              <w:t>pappír</w:t>
            </w:r>
          </w:p>
          <w:p w:rsidR="00546777" w:rsidRDefault="00546777" w:rsidP="00546777">
            <w:pPr>
              <w:widowControl w:val="0"/>
              <w:autoSpaceDE w:val="0"/>
              <w:autoSpaceDN w:val="0"/>
              <w:adjustRightInd w:val="0"/>
              <w:spacing w:before="120"/>
            </w:pPr>
            <w:r>
              <w:t xml:space="preserve">Prentþjónustuaðili skal geta boðið pappír sem samræmist umhverfisskilyrðum um prent- og ljósritunarpappír (sjá viðmið um prent- og ljósritunarpappír á www.vinn.is). </w:t>
            </w:r>
          </w:p>
          <w:p w:rsidR="00546777" w:rsidRPr="00B17204" w:rsidRDefault="00546777" w:rsidP="00546777">
            <w:pPr>
              <w:spacing w:line="276" w:lineRule="auto"/>
              <w:rPr>
                <w:i/>
              </w:rPr>
            </w:pPr>
            <w:r w:rsidRPr="00EE2D31">
              <w:rPr>
                <w:b/>
              </w:rPr>
              <w:t>Staðfesting</w:t>
            </w:r>
            <w:r w:rsidRPr="00D935DB">
              <w:t xml:space="preserve">: </w:t>
            </w:r>
            <w:r>
              <w:t>Viðmið er uppfyllt ef birgi leggur fram undirritaða yfirlýsingu þar að lútandi. Gert er ráð fyrir að kaupandi sannreyni hvort viðmið sé uppfyllt á samningstímabilinu og hann beiti viðeigandi viðurlögum ef viðmið er ekki uppfyllt.</w:t>
            </w:r>
          </w:p>
        </w:tc>
      </w:tr>
      <w:tr w:rsidR="00546777" w:rsidRPr="00994DE5" w:rsidTr="00546777">
        <w:tc>
          <w:tcPr>
            <w:tcW w:w="9180" w:type="dxa"/>
          </w:tcPr>
          <w:p w:rsidR="00546777" w:rsidRPr="00C6249A" w:rsidRDefault="00546777" w:rsidP="00546777">
            <w:pPr>
              <w:widowControl w:val="0"/>
              <w:autoSpaceDE w:val="0"/>
              <w:autoSpaceDN w:val="0"/>
              <w:adjustRightInd w:val="0"/>
              <w:spacing w:before="120"/>
              <w:rPr>
                <w:b/>
                <w:noProof/>
              </w:rPr>
            </w:pPr>
            <w:r>
              <w:rPr>
                <w:b/>
                <w:noProof/>
              </w:rPr>
              <w:t xml:space="preserve">2. </w:t>
            </w:r>
            <w:r w:rsidRPr="00C6249A">
              <w:rPr>
                <w:b/>
                <w:noProof/>
              </w:rPr>
              <w:t>Efni og hráefni</w:t>
            </w:r>
          </w:p>
          <w:p w:rsidR="00546777" w:rsidRPr="0020026B" w:rsidRDefault="00546777" w:rsidP="00546777">
            <w:pPr>
              <w:widowControl w:val="0"/>
              <w:autoSpaceDE w:val="0"/>
              <w:autoSpaceDN w:val="0"/>
              <w:adjustRightInd w:val="0"/>
              <w:spacing w:before="120"/>
              <w:rPr>
                <w:noProof/>
              </w:rPr>
            </w:pPr>
            <w:r w:rsidRPr="0020026B">
              <w:rPr>
                <w:noProof/>
              </w:rPr>
              <w:t xml:space="preserve">Kröfurnar varða eftirfarandi flokka </w:t>
            </w:r>
            <w:r w:rsidR="00690E3B">
              <w:rPr>
                <w:noProof/>
              </w:rPr>
              <w:t xml:space="preserve">efna </w:t>
            </w:r>
            <w:r w:rsidRPr="0020026B">
              <w:rPr>
                <w:noProof/>
              </w:rPr>
              <w:t>sem notuð eru í prentframleiðslu: prentfarfi, gyllingarfólíur, lamineringarfólíur, lakk, lím,  prentduft, prentblek, þvottaefni, fontur og þörungaeyðir (algicides).</w:t>
            </w:r>
          </w:p>
          <w:p w:rsidR="00546777" w:rsidRPr="0020026B" w:rsidRDefault="00546777" w:rsidP="00546777">
            <w:pPr>
              <w:widowControl w:val="0"/>
              <w:autoSpaceDE w:val="0"/>
              <w:autoSpaceDN w:val="0"/>
              <w:adjustRightInd w:val="0"/>
              <w:spacing w:before="120"/>
              <w:rPr>
                <w:noProof/>
              </w:rPr>
            </w:pPr>
            <w:r w:rsidRPr="0020026B">
              <w:rPr>
                <w:noProof/>
              </w:rPr>
              <w:t xml:space="preserve">Að minnsta kosti 95% </w:t>
            </w:r>
            <w:r>
              <w:rPr>
                <w:noProof/>
              </w:rPr>
              <w:t xml:space="preserve">af árlegri notkun </w:t>
            </w:r>
            <w:r w:rsidRPr="0020026B">
              <w:rPr>
                <w:noProof/>
              </w:rPr>
              <w:t xml:space="preserve">efnanna, mælt í þyngd þeirra, </w:t>
            </w:r>
            <w:r w:rsidR="0076297B">
              <w:rPr>
                <w:noProof/>
              </w:rPr>
              <w:t xml:space="preserve">í </w:t>
            </w:r>
            <w:r w:rsidRPr="0020026B">
              <w:rPr>
                <w:noProof/>
              </w:rPr>
              <w:t xml:space="preserve">hverjum flokki skulu uppfylla kröfurnar. Prentfarfi, prentduft og annað prentblek telst til sama flokks. </w:t>
            </w:r>
            <w:r>
              <w:rPr>
                <w:noProof/>
              </w:rPr>
              <w:t>Kröfurnar eiga ekki við þ</w:t>
            </w:r>
            <w:r w:rsidRPr="0020026B">
              <w:rPr>
                <w:noProof/>
              </w:rPr>
              <w:t xml:space="preserve">egar innkaup </w:t>
            </w:r>
            <w:r>
              <w:rPr>
                <w:noProof/>
              </w:rPr>
              <w:t xml:space="preserve">eru </w:t>
            </w:r>
            <w:r w:rsidRPr="0020026B">
              <w:rPr>
                <w:noProof/>
              </w:rPr>
              <w:t>minn</w:t>
            </w:r>
            <w:r>
              <w:rPr>
                <w:noProof/>
              </w:rPr>
              <w:t>i</w:t>
            </w:r>
            <w:r w:rsidRPr="0020026B">
              <w:rPr>
                <w:noProof/>
              </w:rPr>
              <w:t xml:space="preserve"> en 10 kg á ári í </w:t>
            </w:r>
            <w:r>
              <w:rPr>
                <w:noProof/>
              </w:rPr>
              <w:t xml:space="preserve">hverjum </w:t>
            </w:r>
            <w:r w:rsidRPr="0020026B">
              <w:rPr>
                <w:noProof/>
              </w:rPr>
              <w:t>flokki. Athugið að þetta á ekki við þörungaeyðir, gyllingarfolíur, lamineringarfólíur, prentduft og prentblek sem þurfa alltaf að uppfylla kröfur. Ef þvottaefni  er endurunnið hjá prentsmiðjunni (gildir ekki ef um hringrás er að ræða) þá má bæta endurunna magninu við aðkeypt magn þvottaefnis.</w:t>
            </w:r>
          </w:p>
          <w:p w:rsidR="00546777" w:rsidRPr="00B17204" w:rsidRDefault="00546777" w:rsidP="00546777">
            <w:pPr>
              <w:spacing w:line="276" w:lineRule="auto"/>
              <w:rPr>
                <w:rFonts w:cs="Times New Roman"/>
                <w:i/>
                <w:szCs w:val="24"/>
              </w:rPr>
            </w:pPr>
            <w:r w:rsidRPr="00EE2D31">
              <w:rPr>
                <w:b/>
              </w:rPr>
              <w:t>Staðfesting</w:t>
            </w:r>
            <w:r w:rsidRPr="00D935DB">
              <w:t xml:space="preserve">: </w:t>
            </w:r>
            <w:r w:rsidRPr="00C21EFC">
              <w:t>Sé varan merkt með norræna Svaninum, er</w:t>
            </w:r>
            <w:r>
              <w:t xml:space="preserve"> það fullnægjandi staðfesting á að umhverfisviðmið séu </w:t>
            </w:r>
            <w:r w:rsidRPr="00C21EFC">
              <w:t xml:space="preserve">uppfyllt. </w:t>
            </w:r>
            <w:r>
              <w:t>Öll önnur sönnunargögn eru tekin gild, eins og t.d. l</w:t>
            </w:r>
            <w:r w:rsidRPr="0020026B">
              <w:rPr>
                <w:noProof/>
              </w:rPr>
              <w:t>isti yfir þau tilteknu efni sem notuð eru í framleiðslu prentaðs efnis og voru keypt á árinu</w:t>
            </w:r>
            <w:r>
              <w:rPr>
                <w:noProof/>
              </w:rPr>
              <w:t>.</w:t>
            </w:r>
          </w:p>
        </w:tc>
      </w:tr>
      <w:tr w:rsidR="00546777" w:rsidRPr="00994DE5" w:rsidTr="00546777">
        <w:tc>
          <w:tcPr>
            <w:tcW w:w="9180" w:type="dxa"/>
          </w:tcPr>
          <w:p w:rsidR="00546777" w:rsidRPr="00C6249A" w:rsidRDefault="00690E3B" w:rsidP="00546777">
            <w:pPr>
              <w:keepNext/>
              <w:keepLines/>
              <w:widowControl w:val="0"/>
              <w:autoSpaceDE w:val="0"/>
              <w:autoSpaceDN w:val="0"/>
              <w:adjustRightInd w:val="0"/>
              <w:spacing w:before="120"/>
              <w:rPr>
                <w:b/>
                <w:noProof/>
              </w:rPr>
            </w:pPr>
            <w:r>
              <w:rPr>
                <w:b/>
                <w:noProof/>
              </w:rPr>
              <w:t>2.1</w:t>
            </w:r>
            <w:r w:rsidR="00546777">
              <w:rPr>
                <w:b/>
                <w:noProof/>
              </w:rPr>
              <w:t xml:space="preserve"> Efni skaðleg</w:t>
            </w:r>
            <w:r w:rsidR="00546777" w:rsidRPr="00C6249A">
              <w:rPr>
                <w:b/>
                <w:noProof/>
              </w:rPr>
              <w:t xml:space="preserve"> umhverfinu</w:t>
            </w:r>
          </w:p>
          <w:p w:rsidR="00546777" w:rsidRPr="0020026B" w:rsidRDefault="00546777" w:rsidP="00546777">
            <w:pPr>
              <w:keepNext/>
              <w:keepLines/>
              <w:widowControl w:val="0"/>
              <w:autoSpaceDE w:val="0"/>
              <w:autoSpaceDN w:val="0"/>
              <w:adjustRightInd w:val="0"/>
              <w:spacing w:before="120"/>
              <w:rPr>
                <w:noProof/>
              </w:rPr>
            </w:pPr>
            <w:r>
              <w:rPr>
                <w:noProof/>
              </w:rPr>
              <w:t>Prentefni skal hvorki innihalda efni eða leyfar af efnum sem eru</w:t>
            </w:r>
            <w:r w:rsidRPr="0020026B">
              <w:rPr>
                <w:noProof/>
              </w:rPr>
              <w:t xml:space="preserve"> flokkuð sem hættuleg umhverfinu með  hættusetningum; H50, H53, H59 né samtengdum hættusetningum H50/53, H52/53, H51/53</w:t>
            </w:r>
            <w:r>
              <w:rPr>
                <w:noProof/>
              </w:rPr>
              <w:t>.  Þetta er</w:t>
            </w:r>
            <w:r w:rsidRPr="0020026B">
              <w:rPr>
                <w:noProof/>
              </w:rPr>
              <w:t xml:space="preserve"> í samræmi við núgildandi reglugerð um flokkun og merkingu í Danmörku, Finnlandi, Íslandi, Noregi og Svíþjóð. Reglugerð</w:t>
            </w:r>
            <w:r>
              <w:rPr>
                <w:noProof/>
              </w:rPr>
              <w:t>in</w:t>
            </w:r>
            <w:r w:rsidRPr="0020026B">
              <w:rPr>
                <w:noProof/>
              </w:rPr>
              <w:t xml:space="preserve"> er byggð á ESB tilskipun 1999/45/EC ásamt síðari breytingum og endurskoðunum.</w:t>
            </w:r>
          </w:p>
          <w:p w:rsidR="00546777" w:rsidRPr="0020026B" w:rsidRDefault="00546777" w:rsidP="00546777">
            <w:pPr>
              <w:keepNext/>
              <w:keepLines/>
              <w:widowControl w:val="0"/>
              <w:autoSpaceDE w:val="0"/>
              <w:autoSpaceDN w:val="0"/>
              <w:adjustRightInd w:val="0"/>
              <w:spacing w:before="120"/>
              <w:rPr>
                <w:noProof/>
              </w:rPr>
            </w:pPr>
            <w:r w:rsidRPr="0020026B">
              <w:rPr>
                <w:noProof/>
              </w:rPr>
              <w:t>Ofangreint á ekki við um geislaharðnandi liti svo sem útfjólubláa</w:t>
            </w:r>
            <w:r>
              <w:rPr>
                <w:noProof/>
              </w:rPr>
              <w:t xml:space="preserve"> </w:t>
            </w:r>
            <w:r w:rsidRPr="0020026B">
              <w:rPr>
                <w:noProof/>
              </w:rPr>
              <w:t>farfa</w:t>
            </w:r>
            <w:r>
              <w:rPr>
                <w:noProof/>
              </w:rPr>
              <w:t>,</w:t>
            </w:r>
            <w:r w:rsidRPr="0020026B">
              <w:rPr>
                <w:noProof/>
              </w:rPr>
              <w:t xml:space="preserve"> útfjólublátt</w:t>
            </w:r>
            <w:r>
              <w:rPr>
                <w:noProof/>
              </w:rPr>
              <w:t xml:space="preserve"> </w:t>
            </w:r>
            <w:r w:rsidRPr="0020026B">
              <w:rPr>
                <w:noProof/>
              </w:rPr>
              <w:t xml:space="preserve">lakk og þörungaeyða þar sem kröfur eru gerðar um að þynnt slík efni séu ekki flokkuð með ofangreindum hættusetningum. </w:t>
            </w:r>
          </w:p>
          <w:p w:rsidR="00546777" w:rsidRDefault="00546777" w:rsidP="00546777">
            <w:pPr>
              <w:widowControl w:val="0"/>
              <w:autoSpaceDE w:val="0"/>
              <w:autoSpaceDN w:val="0"/>
              <w:adjustRightInd w:val="0"/>
              <w:spacing w:before="120"/>
              <w:rPr>
                <w:b/>
                <w:noProof/>
              </w:rPr>
            </w:pPr>
            <w:r w:rsidRPr="003F5F78">
              <w:rPr>
                <w:b/>
                <w:noProof/>
              </w:rPr>
              <w:t>Staðfesting</w:t>
            </w:r>
            <w:r>
              <w:rPr>
                <w:noProof/>
              </w:rPr>
              <w:t xml:space="preserve">: </w:t>
            </w:r>
            <w:r w:rsidRPr="00C21EFC">
              <w:t>Sé varan merkt með norræna Svaninum, er</w:t>
            </w:r>
            <w:r>
              <w:t xml:space="preserve"> það fullnægjandi staðfesting á að umhverfisviðmið séu </w:t>
            </w:r>
            <w:r w:rsidRPr="00C21EFC">
              <w:t xml:space="preserve">uppfyllt. </w:t>
            </w:r>
            <w:r w:rsidRPr="00D935DB">
              <w:t>Öll önnur viðurkennd sönnunargögn</w:t>
            </w:r>
            <w:r>
              <w:t xml:space="preserve"> eru tekin gild</w:t>
            </w:r>
            <w:r w:rsidRPr="00D935DB">
              <w:t>, eins og</w:t>
            </w:r>
            <w:r>
              <w:t xml:space="preserve"> öryggisblöð þar sem hættusetningar eru tilgreindar eru tekin gild.</w:t>
            </w:r>
          </w:p>
        </w:tc>
      </w:tr>
      <w:tr w:rsidR="00546777" w:rsidRPr="00994DE5" w:rsidTr="00546777">
        <w:tc>
          <w:tcPr>
            <w:tcW w:w="9180" w:type="dxa"/>
          </w:tcPr>
          <w:p w:rsidR="00546777" w:rsidRPr="008A2215" w:rsidRDefault="00690E3B" w:rsidP="00546777">
            <w:pPr>
              <w:widowControl w:val="0"/>
              <w:autoSpaceDE w:val="0"/>
              <w:autoSpaceDN w:val="0"/>
              <w:adjustRightInd w:val="0"/>
              <w:spacing w:before="120"/>
              <w:rPr>
                <w:b/>
                <w:noProof/>
              </w:rPr>
            </w:pPr>
            <w:r>
              <w:rPr>
                <w:b/>
                <w:noProof/>
              </w:rPr>
              <w:t>2.2</w:t>
            </w:r>
            <w:r w:rsidR="00546777">
              <w:rPr>
                <w:b/>
                <w:noProof/>
              </w:rPr>
              <w:t xml:space="preserve"> </w:t>
            </w:r>
            <w:r w:rsidR="00546777" w:rsidRPr="008A2215">
              <w:rPr>
                <w:b/>
                <w:noProof/>
              </w:rPr>
              <w:t>Heilsuspillandi vörur</w:t>
            </w:r>
          </w:p>
          <w:p w:rsidR="00546777" w:rsidRPr="0020026B" w:rsidRDefault="00546777" w:rsidP="00546777">
            <w:pPr>
              <w:widowControl w:val="0"/>
              <w:autoSpaceDE w:val="0"/>
              <w:autoSpaceDN w:val="0"/>
              <w:adjustRightInd w:val="0"/>
              <w:spacing w:before="120"/>
              <w:rPr>
                <w:noProof/>
              </w:rPr>
            </w:pPr>
            <w:r>
              <w:rPr>
                <w:noProof/>
              </w:rPr>
              <w:t>Prentefni skal</w:t>
            </w:r>
            <w:r w:rsidRPr="0020026B">
              <w:rPr>
                <w:noProof/>
              </w:rPr>
              <w:t xml:space="preserve"> ekki</w:t>
            </w:r>
            <w:r>
              <w:rPr>
                <w:noProof/>
              </w:rPr>
              <w:t xml:space="preserve"> innihalda efni eða leyfar af efnum sem eru</w:t>
            </w:r>
            <w:r w:rsidRPr="0020026B">
              <w:rPr>
                <w:noProof/>
              </w:rPr>
              <w:t xml:space="preserve"> skilgreind sem skaðleg heilsu manna með eftirfarandi hættusetningum:</w:t>
            </w:r>
          </w:p>
          <w:p w:rsidR="00546777" w:rsidRPr="008A2215" w:rsidRDefault="00546777" w:rsidP="00546777">
            <w:pPr>
              <w:pStyle w:val="ListParagraph"/>
              <w:numPr>
                <w:ilvl w:val="0"/>
                <w:numId w:val="18"/>
              </w:numPr>
              <w:spacing w:after="0"/>
              <w:rPr>
                <w:noProof/>
                <w:szCs w:val="24"/>
              </w:rPr>
            </w:pPr>
            <w:r w:rsidRPr="008A2215">
              <w:rPr>
                <w:noProof/>
                <w:szCs w:val="24"/>
              </w:rPr>
              <w:lastRenderedPageBreak/>
              <w:t>Krabbameinsvaldandi efni H40, H45 eða H49</w:t>
            </w:r>
          </w:p>
          <w:p w:rsidR="00546777" w:rsidRPr="008A2215" w:rsidRDefault="00546777" w:rsidP="00546777">
            <w:pPr>
              <w:pStyle w:val="ListParagraph"/>
              <w:numPr>
                <w:ilvl w:val="0"/>
                <w:numId w:val="18"/>
              </w:numPr>
              <w:spacing w:after="0"/>
              <w:rPr>
                <w:noProof/>
                <w:szCs w:val="24"/>
              </w:rPr>
            </w:pPr>
            <w:r w:rsidRPr="008A2215">
              <w:rPr>
                <w:noProof/>
                <w:szCs w:val="24"/>
              </w:rPr>
              <w:t>Efni sem hafa skaðleg áhrif á frjósemi og fóstur með H60, H61, H62 eða H63</w:t>
            </w:r>
          </w:p>
          <w:p w:rsidR="00546777" w:rsidRPr="008A2215" w:rsidRDefault="00546777" w:rsidP="00546777">
            <w:pPr>
              <w:pStyle w:val="ListParagraph"/>
              <w:numPr>
                <w:ilvl w:val="0"/>
                <w:numId w:val="18"/>
              </w:numPr>
              <w:spacing w:after="0"/>
              <w:rPr>
                <w:noProof/>
                <w:szCs w:val="24"/>
              </w:rPr>
            </w:pPr>
            <w:r w:rsidRPr="008A2215">
              <w:rPr>
                <w:noProof/>
                <w:szCs w:val="24"/>
              </w:rPr>
              <w:t>Stökkbreytivaldandi efni með H46 eða H48</w:t>
            </w:r>
          </w:p>
          <w:p w:rsidR="00546777" w:rsidRPr="008A2215" w:rsidRDefault="00546777" w:rsidP="00546777">
            <w:pPr>
              <w:pStyle w:val="ListParagraph"/>
              <w:numPr>
                <w:ilvl w:val="0"/>
                <w:numId w:val="18"/>
              </w:numPr>
              <w:spacing w:after="0"/>
              <w:rPr>
                <w:noProof/>
                <w:szCs w:val="24"/>
              </w:rPr>
            </w:pPr>
            <w:r w:rsidRPr="008A2215">
              <w:rPr>
                <w:noProof/>
                <w:szCs w:val="24"/>
              </w:rPr>
              <w:t>Eiturefni með H23, H24, H25 eða H48</w:t>
            </w:r>
          </w:p>
          <w:p w:rsidR="00546777" w:rsidRPr="008A2215" w:rsidRDefault="00546777" w:rsidP="00546777">
            <w:pPr>
              <w:pStyle w:val="ListParagraph"/>
              <w:numPr>
                <w:ilvl w:val="0"/>
                <w:numId w:val="18"/>
              </w:numPr>
              <w:spacing w:after="0"/>
              <w:rPr>
                <w:noProof/>
                <w:szCs w:val="24"/>
              </w:rPr>
            </w:pPr>
            <w:r w:rsidRPr="008A2215">
              <w:rPr>
                <w:noProof/>
                <w:szCs w:val="24"/>
              </w:rPr>
              <w:t>Mjög eitruð efni með H26, H27, H28 eða H39</w:t>
            </w:r>
          </w:p>
          <w:p w:rsidR="00546777" w:rsidRDefault="00546777" w:rsidP="00546777">
            <w:pPr>
              <w:widowControl w:val="0"/>
              <w:autoSpaceDE w:val="0"/>
              <w:autoSpaceDN w:val="0"/>
              <w:adjustRightInd w:val="0"/>
              <w:spacing w:before="120"/>
              <w:rPr>
                <w:noProof/>
              </w:rPr>
            </w:pPr>
            <w:r>
              <w:rPr>
                <w:noProof/>
              </w:rPr>
              <w:t xml:space="preserve">Þetta á einnig við um blöndu  sem inniheldur þessi efni í samræmi við núgildandi reglugerð um flokkun og merkingu í Danmörku, Finnlandi, Íslandi, Noregi og Svíþjóð. Reglurnar eru byggðar á ESB tilskipun 1999/45/EC ásamt síðari breytingum og endurskoðunum. </w:t>
            </w:r>
          </w:p>
          <w:p w:rsidR="00546777" w:rsidRDefault="00546777" w:rsidP="00546777">
            <w:pPr>
              <w:widowControl w:val="0"/>
              <w:autoSpaceDE w:val="0"/>
              <w:autoSpaceDN w:val="0"/>
              <w:adjustRightInd w:val="0"/>
              <w:spacing w:before="120"/>
              <w:rPr>
                <w:noProof/>
              </w:rPr>
            </w:pPr>
            <w:r>
              <w:rPr>
                <w:noProof/>
              </w:rPr>
              <w:t xml:space="preserve">Kröfurnar taka ekki til þvottaefna sem innihalda tólúen og prentblek fyrir djúpprentun. </w:t>
            </w:r>
          </w:p>
          <w:p w:rsidR="00546777" w:rsidRDefault="00546777" w:rsidP="00546777">
            <w:pPr>
              <w:widowControl w:val="0"/>
              <w:autoSpaceDE w:val="0"/>
              <w:autoSpaceDN w:val="0"/>
              <w:adjustRightInd w:val="0"/>
              <w:spacing w:before="120"/>
              <w:rPr>
                <w:b/>
                <w:noProof/>
              </w:rPr>
            </w:pPr>
            <w:r w:rsidRPr="003F5F78">
              <w:rPr>
                <w:b/>
                <w:noProof/>
              </w:rPr>
              <w:t>Staðfesting</w:t>
            </w:r>
            <w:r>
              <w:rPr>
                <w:noProof/>
              </w:rPr>
              <w:t xml:space="preserve">: </w:t>
            </w:r>
            <w:r w:rsidRPr="00C21EFC">
              <w:t>Sé varan merkt með norræna Svaninum</w:t>
            </w:r>
            <w:r>
              <w:t xml:space="preserve"> </w:t>
            </w:r>
            <w:r w:rsidRPr="00C21EFC">
              <w:t>er</w:t>
            </w:r>
            <w:r>
              <w:t xml:space="preserve"> það fullnægjandi staðfesting á að umhverfisviðmið séu </w:t>
            </w:r>
            <w:r w:rsidRPr="00C21EFC">
              <w:t xml:space="preserve">uppfyllt. </w:t>
            </w:r>
            <w:r w:rsidRPr="00D935DB">
              <w:t>Öll önnur viðurkennd sönnunargögn, eins og</w:t>
            </w:r>
            <w:r>
              <w:t xml:space="preserve"> öryggisblöð þar sem hættusetningar eru tilgreindar eru tekin gild.</w:t>
            </w:r>
          </w:p>
        </w:tc>
      </w:tr>
      <w:tr w:rsidR="00546777" w:rsidRPr="00994DE5" w:rsidTr="00546777">
        <w:tc>
          <w:tcPr>
            <w:tcW w:w="9180" w:type="dxa"/>
          </w:tcPr>
          <w:p w:rsidR="00546777" w:rsidRPr="008A2215" w:rsidRDefault="00690E3B" w:rsidP="00546777">
            <w:pPr>
              <w:widowControl w:val="0"/>
              <w:autoSpaceDE w:val="0"/>
              <w:autoSpaceDN w:val="0"/>
              <w:adjustRightInd w:val="0"/>
              <w:spacing w:before="120"/>
              <w:rPr>
                <w:b/>
                <w:noProof/>
              </w:rPr>
            </w:pPr>
            <w:r>
              <w:rPr>
                <w:b/>
                <w:noProof/>
              </w:rPr>
              <w:lastRenderedPageBreak/>
              <w:t>2.3</w:t>
            </w:r>
            <w:r w:rsidR="00546777">
              <w:rPr>
                <w:b/>
                <w:noProof/>
              </w:rPr>
              <w:t xml:space="preserve"> S</w:t>
            </w:r>
            <w:r w:rsidR="00546777" w:rsidRPr="008A2215">
              <w:rPr>
                <w:b/>
                <w:noProof/>
              </w:rPr>
              <w:t>érlega hættuleg efni</w:t>
            </w:r>
          </w:p>
          <w:p w:rsidR="00546777" w:rsidRPr="00EC53F2" w:rsidRDefault="00546777" w:rsidP="00546777">
            <w:pPr>
              <w:widowControl w:val="0"/>
              <w:autoSpaceDE w:val="0"/>
              <w:autoSpaceDN w:val="0"/>
              <w:adjustRightInd w:val="0"/>
              <w:spacing w:before="120"/>
              <w:rPr>
                <w:noProof/>
              </w:rPr>
            </w:pPr>
            <w:r w:rsidRPr="00EC53F2">
              <w:rPr>
                <w:noProof/>
              </w:rPr>
              <w:t>Prentefni skal ekki innihalda efni eða leyfar af efnum sem innihalda EDTA og sölt þess, NTA og sölt þess, LAS, natríum eða kalsíum hýpóklóríð, PFOS skyld efni, alkýfenól eða afleiður þess eða hormóna</w:t>
            </w:r>
            <w:r w:rsidR="0076297B">
              <w:rPr>
                <w:noProof/>
              </w:rPr>
              <w:t>truflandi</w:t>
            </w:r>
            <w:r w:rsidRPr="00EC53F2">
              <w:rPr>
                <w:noProof/>
              </w:rPr>
              <w:t xml:space="preserve"> þalöt.</w:t>
            </w:r>
          </w:p>
          <w:p w:rsidR="00546777" w:rsidRPr="00EC53F2" w:rsidRDefault="00546777" w:rsidP="00546777">
            <w:pPr>
              <w:widowControl w:val="0"/>
              <w:autoSpaceDE w:val="0"/>
              <w:autoSpaceDN w:val="0"/>
              <w:adjustRightInd w:val="0"/>
              <w:spacing w:before="120"/>
              <w:rPr>
                <w:noProof/>
              </w:rPr>
            </w:pPr>
            <w:r w:rsidRPr="00EC53F2">
              <w:rPr>
                <w:noProof/>
              </w:rPr>
              <w:t>PFOS-skyld efni eru hér tekin með POSF efnum (Perfluorooctyl sulphonyl fluoride)</w:t>
            </w:r>
          </w:p>
          <w:p w:rsidR="00546777" w:rsidRPr="00EC53F2" w:rsidRDefault="0076297B" w:rsidP="00546777">
            <w:pPr>
              <w:widowControl w:val="0"/>
              <w:autoSpaceDE w:val="0"/>
              <w:autoSpaceDN w:val="0"/>
              <w:adjustRightInd w:val="0"/>
              <w:spacing w:before="120"/>
              <w:rPr>
                <w:noProof/>
              </w:rPr>
            </w:pPr>
            <w:r>
              <w:rPr>
                <w:noProof/>
              </w:rPr>
              <w:t>H</w:t>
            </w:r>
            <w:r w:rsidRPr="00EC53F2">
              <w:rPr>
                <w:noProof/>
              </w:rPr>
              <w:t>ormóna</w:t>
            </w:r>
            <w:r>
              <w:rPr>
                <w:noProof/>
              </w:rPr>
              <w:t>truflandi</w:t>
            </w:r>
            <w:r w:rsidRPr="00EC53F2">
              <w:rPr>
                <w:noProof/>
              </w:rPr>
              <w:t xml:space="preserve"> </w:t>
            </w:r>
            <w:r w:rsidR="00546777" w:rsidRPr="00EC53F2">
              <w:rPr>
                <w:noProof/>
              </w:rPr>
              <w:t>þalöt eru skilgreind í opinberum li</w:t>
            </w:r>
            <w:r>
              <w:rPr>
                <w:noProof/>
              </w:rPr>
              <w:t xml:space="preserve">stum fyrir Norðurlönd eða ESB. </w:t>
            </w:r>
            <w:r w:rsidR="00546777" w:rsidRPr="00EC53F2">
              <w:rPr>
                <w:noProof/>
              </w:rPr>
              <w:t xml:space="preserve">Athugið að á lista ESB yfir </w:t>
            </w:r>
            <w:r w:rsidRPr="00EC53F2">
              <w:rPr>
                <w:noProof/>
              </w:rPr>
              <w:t>hormóna</w:t>
            </w:r>
            <w:r>
              <w:rPr>
                <w:noProof/>
              </w:rPr>
              <w:t>truflandi</w:t>
            </w:r>
            <w:r w:rsidRPr="00EC53F2">
              <w:rPr>
                <w:noProof/>
              </w:rPr>
              <w:t xml:space="preserve"> </w:t>
            </w:r>
            <w:r w:rsidR="00546777" w:rsidRPr="00EC53F2">
              <w:rPr>
                <w:noProof/>
              </w:rPr>
              <w:t xml:space="preserve">efni er flokkur 3C, sem hljóðar svo: “Engin vísindaleg rök fyrir veru á listanum. Gögn fyrirfinnast, en ekki er vísindalegur grundvöllur fyrir veru á listanum.” Þessi efni eru ekki talin </w:t>
            </w:r>
            <w:r w:rsidRPr="00EC53F2">
              <w:rPr>
                <w:noProof/>
              </w:rPr>
              <w:t>hormóna</w:t>
            </w:r>
            <w:r>
              <w:rPr>
                <w:noProof/>
              </w:rPr>
              <w:t>truflandi</w:t>
            </w:r>
            <w:r w:rsidR="00546777" w:rsidRPr="00EC53F2">
              <w:rPr>
                <w:noProof/>
              </w:rPr>
              <w:t>.</w:t>
            </w:r>
          </w:p>
          <w:p w:rsidR="00546777" w:rsidRDefault="00546777" w:rsidP="00546777">
            <w:pPr>
              <w:widowControl w:val="0"/>
              <w:autoSpaceDE w:val="0"/>
              <w:autoSpaceDN w:val="0"/>
              <w:adjustRightInd w:val="0"/>
              <w:spacing w:before="120"/>
              <w:rPr>
                <w:b/>
                <w:noProof/>
              </w:rPr>
            </w:pPr>
            <w:r w:rsidRPr="00EC53F2">
              <w:rPr>
                <w:b/>
                <w:noProof/>
              </w:rPr>
              <w:t>Staðfesting</w:t>
            </w:r>
            <w:r w:rsidRPr="00EC53F2">
              <w:rPr>
                <w:noProof/>
              </w:rPr>
              <w:t xml:space="preserve">: </w:t>
            </w:r>
            <w:r w:rsidRPr="00C21EFC">
              <w:t>Sé varan merkt með norræna Svaninum er</w:t>
            </w:r>
            <w:r>
              <w:t xml:space="preserve"> það fullnægjandi staðfesting á að umhverfisviðmið séu </w:t>
            </w:r>
            <w:r w:rsidRPr="00C21EFC">
              <w:t xml:space="preserve">uppfyllt. </w:t>
            </w:r>
            <w:r w:rsidRPr="00EC53F2">
              <w:t>Öll önnur viðurkennd sönnunargögn</w:t>
            </w:r>
            <w:r>
              <w:t xml:space="preserve"> </w:t>
            </w:r>
            <w:r w:rsidRPr="00EC53F2">
              <w:t>eins og öryggisblöð þar sem hættusetningar eru tilgreindar eru tekin gild.</w:t>
            </w:r>
          </w:p>
        </w:tc>
      </w:tr>
      <w:tr w:rsidR="00546777" w:rsidRPr="00994DE5" w:rsidTr="00546777">
        <w:tc>
          <w:tcPr>
            <w:tcW w:w="9180" w:type="dxa"/>
          </w:tcPr>
          <w:p w:rsidR="00546777" w:rsidRPr="00C6249A" w:rsidRDefault="00690E3B" w:rsidP="00546777">
            <w:pPr>
              <w:widowControl w:val="0"/>
              <w:autoSpaceDE w:val="0"/>
              <w:autoSpaceDN w:val="0"/>
              <w:adjustRightInd w:val="0"/>
              <w:spacing w:before="120"/>
              <w:rPr>
                <w:b/>
                <w:noProof/>
              </w:rPr>
            </w:pPr>
            <w:r>
              <w:rPr>
                <w:b/>
                <w:noProof/>
              </w:rPr>
              <w:t>2.4</w:t>
            </w:r>
            <w:r w:rsidR="00546777" w:rsidRPr="00C6249A">
              <w:rPr>
                <w:b/>
                <w:noProof/>
              </w:rPr>
              <w:t xml:space="preserve"> Þungmálmar</w:t>
            </w:r>
          </w:p>
          <w:p w:rsidR="00546777" w:rsidRPr="0020026B" w:rsidRDefault="0076297B" w:rsidP="00546777">
            <w:pPr>
              <w:widowControl w:val="0"/>
              <w:autoSpaceDE w:val="0"/>
              <w:autoSpaceDN w:val="0"/>
              <w:adjustRightInd w:val="0"/>
              <w:spacing w:before="120"/>
              <w:rPr>
                <w:noProof/>
              </w:rPr>
            </w:pPr>
            <w:r>
              <w:rPr>
                <w:noProof/>
              </w:rPr>
              <w:t>Styrkur þungmálmanna blýs, kadmí</w:t>
            </w:r>
            <w:r w:rsidR="00546777" w:rsidRPr="0020026B">
              <w:rPr>
                <w:noProof/>
              </w:rPr>
              <w:t xml:space="preserve">ums, kvikasilfurs og </w:t>
            </w:r>
            <w:r w:rsidR="00546777">
              <w:rPr>
                <w:noProof/>
              </w:rPr>
              <w:t>sexgilds</w:t>
            </w:r>
            <w:r w:rsidR="00546777" w:rsidRPr="0020026B">
              <w:rPr>
                <w:noProof/>
              </w:rPr>
              <w:t xml:space="preserve"> króms</w:t>
            </w:r>
            <w:r w:rsidR="00546777">
              <w:rPr>
                <w:noProof/>
              </w:rPr>
              <w:t xml:space="preserve"> skal</w:t>
            </w:r>
            <w:r w:rsidR="00546777" w:rsidRPr="0020026B">
              <w:rPr>
                <w:noProof/>
              </w:rPr>
              <w:t xml:space="preserve"> samanlagt ekki fara yfir 100ppm í prentförfum, prentdufti, prentbleki, gyllingar</w:t>
            </w:r>
            <w:r>
              <w:rPr>
                <w:noProof/>
              </w:rPr>
              <w:t>-</w:t>
            </w:r>
            <w:r w:rsidR="00546777" w:rsidRPr="0020026B">
              <w:rPr>
                <w:noProof/>
              </w:rPr>
              <w:t xml:space="preserve"> og lamineringarfólíum.</w:t>
            </w:r>
          </w:p>
          <w:p w:rsidR="00546777" w:rsidRDefault="00546777" w:rsidP="00546777">
            <w:pPr>
              <w:widowControl w:val="0"/>
              <w:autoSpaceDE w:val="0"/>
              <w:autoSpaceDN w:val="0"/>
              <w:adjustRightInd w:val="0"/>
              <w:spacing w:before="120"/>
              <w:rPr>
                <w:b/>
                <w:noProof/>
              </w:rPr>
            </w:pPr>
            <w:r w:rsidRPr="003F5F78">
              <w:rPr>
                <w:b/>
                <w:noProof/>
              </w:rPr>
              <w:t>Staðfesting</w:t>
            </w:r>
            <w:r>
              <w:rPr>
                <w:noProof/>
              </w:rPr>
              <w:t xml:space="preserve">: </w:t>
            </w:r>
            <w:r w:rsidRPr="00C21EFC">
              <w:t>Sé varan merkt með norræna Svaninum er</w:t>
            </w:r>
            <w:r>
              <w:t xml:space="preserve"> það fullnægjandi staðfesting á að umhverfisviðmið séu </w:t>
            </w:r>
            <w:r w:rsidRPr="00C21EFC">
              <w:t xml:space="preserve">uppfyllt. </w:t>
            </w:r>
            <w:r w:rsidRPr="00D935DB">
              <w:t>Öll önnur viðurkennd sönnunargögn</w:t>
            </w:r>
            <w:r>
              <w:t xml:space="preserve"> eru tekin gild</w:t>
            </w:r>
            <w:r w:rsidRPr="00D935DB">
              <w:t>, eins og</w:t>
            </w:r>
            <w:r>
              <w:t xml:space="preserve"> öryggisblöð fyrir öll efni sem eru notuð í framleiðslunni og þar sem magn þungmálma er tilgreint.</w:t>
            </w:r>
          </w:p>
        </w:tc>
      </w:tr>
      <w:tr w:rsidR="00546777" w:rsidRPr="00994DE5" w:rsidTr="00546777">
        <w:tc>
          <w:tcPr>
            <w:tcW w:w="9180" w:type="dxa"/>
          </w:tcPr>
          <w:p w:rsidR="00546777" w:rsidRDefault="00690E3B" w:rsidP="00546777">
            <w:pPr>
              <w:widowControl w:val="0"/>
              <w:autoSpaceDE w:val="0"/>
              <w:autoSpaceDN w:val="0"/>
              <w:adjustRightInd w:val="0"/>
              <w:spacing w:before="120"/>
              <w:rPr>
                <w:b/>
                <w:noProof/>
              </w:rPr>
            </w:pPr>
            <w:r>
              <w:rPr>
                <w:b/>
                <w:noProof/>
              </w:rPr>
              <w:t>2.5</w:t>
            </w:r>
            <w:r w:rsidR="00546777" w:rsidRPr="00C6249A">
              <w:rPr>
                <w:b/>
                <w:noProof/>
              </w:rPr>
              <w:t xml:space="preserve"> Efnaleifar arómatískra efna</w:t>
            </w:r>
          </w:p>
          <w:p w:rsidR="00546777" w:rsidRDefault="00546777" w:rsidP="00546777">
            <w:pPr>
              <w:widowControl w:val="0"/>
              <w:autoSpaceDE w:val="0"/>
              <w:autoSpaceDN w:val="0"/>
              <w:adjustRightInd w:val="0"/>
              <w:spacing w:before="120"/>
              <w:rPr>
                <w:noProof/>
              </w:rPr>
            </w:pPr>
            <w:r>
              <w:rPr>
                <w:noProof/>
              </w:rPr>
              <w:t>Á prentefninu skal s</w:t>
            </w:r>
            <w:r w:rsidRPr="0020026B">
              <w:rPr>
                <w:noProof/>
              </w:rPr>
              <w:t>tyrkur ósúlfóneraðra arómatískra amína uppleyst í 1M saltsýru og sett fram sem anilín má ekki fara yfir 500 mg/kg og það mega ekki vera meira en 10 mg/kg bensidín, β-naphthylamín og 4-amínobiphenyl samtals í prenfarfa, prentdufti og prentbleki.</w:t>
            </w:r>
          </w:p>
          <w:p w:rsidR="00546777" w:rsidRDefault="00546777" w:rsidP="00546777">
            <w:pPr>
              <w:widowControl w:val="0"/>
              <w:autoSpaceDE w:val="0"/>
              <w:autoSpaceDN w:val="0"/>
              <w:adjustRightInd w:val="0"/>
              <w:spacing w:before="120"/>
              <w:rPr>
                <w:b/>
                <w:noProof/>
              </w:rPr>
            </w:pPr>
            <w:r w:rsidRPr="001C7867">
              <w:rPr>
                <w:b/>
                <w:noProof/>
              </w:rPr>
              <w:t>Staðfesting</w:t>
            </w:r>
            <w:r>
              <w:rPr>
                <w:noProof/>
              </w:rPr>
              <w:t xml:space="preserve">: </w:t>
            </w:r>
            <w:r w:rsidRPr="00C21EFC">
              <w:t>Sé varan merkt með norræna Svaninum er</w:t>
            </w:r>
            <w:r>
              <w:t xml:space="preserve"> það fullnægjandi staðfesting á að umhverfisviðmið séu </w:t>
            </w:r>
            <w:r w:rsidRPr="00C21EFC">
              <w:t>uppfyllt.</w:t>
            </w:r>
            <w:r>
              <w:t xml:space="preserve"> Öll önnur </w:t>
            </w:r>
            <w:r w:rsidRPr="00D935DB">
              <w:t>sönnunargögn</w:t>
            </w:r>
            <w:r>
              <w:t xml:space="preserve"> eru tekin gild</w:t>
            </w:r>
            <w:r w:rsidRPr="00D935DB">
              <w:t>, eins og</w:t>
            </w:r>
            <w:r>
              <w:t xml:space="preserve"> t.d. niðurstöður samkvæmt p</w:t>
            </w:r>
            <w:r>
              <w:rPr>
                <w:noProof/>
              </w:rPr>
              <w:t>rófunaraðferðum</w:t>
            </w:r>
            <w:r w:rsidRPr="0020026B">
              <w:rPr>
                <w:noProof/>
              </w:rPr>
              <w:t xml:space="preserve"> í samræmi við ályktun AP (89) 1 leiðtogaráðs ESB.</w:t>
            </w:r>
          </w:p>
        </w:tc>
      </w:tr>
      <w:tr w:rsidR="00546777" w:rsidRPr="00994DE5" w:rsidTr="00546777">
        <w:tc>
          <w:tcPr>
            <w:tcW w:w="9180" w:type="dxa"/>
          </w:tcPr>
          <w:p w:rsidR="00546777" w:rsidRPr="00C6249A" w:rsidRDefault="00690E3B" w:rsidP="00546777">
            <w:pPr>
              <w:spacing w:before="120"/>
              <w:rPr>
                <w:b/>
                <w:noProof/>
              </w:rPr>
            </w:pPr>
            <w:r>
              <w:rPr>
                <w:b/>
                <w:sz w:val="22"/>
              </w:rPr>
              <w:t>2.6</w:t>
            </w:r>
            <w:bookmarkStart w:id="0" w:name="_GoBack"/>
            <w:bookmarkEnd w:id="0"/>
            <w:r w:rsidR="00546777">
              <w:rPr>
                <w:b/>
                <w:sz w:val="22"/>
              </w:rPr>
              <w:t xml:space="preserve"> </w:t>
            </w:r>
            <w:r w:rsidR="00546777" w:rsidRPr="00C6249A">
              <w:rPr>
                <w:b/>
                <w:noProof/>
              </w:rPr>
              <w:t xml:space="preserve">Efni sem safnast </w:t>
            </w:r>
            <w:r w:rsidR="0076297B">
              <w:rPr>
                <w:b/>
                <w:noProof/>
              </w:rPr>
              <w:t>upp</w:t>
            </w:r>
            <w:r w:rsidR="00546777" w:rsidRPr="00C6249A">
              <w:rPr>
                <w:b/>
                <w:noProof/>
              </w:rPr>
              <w:t xml:space="preserve"> í lífverum</w:t>
            </w:r>
          </w:p>
          <w:p w:rsidR="00546777" w:rsidRPr="00EC53F2" w:rsidRDefault="00546777" w:rsidP="00546777">
            <w:pPr>
              <w:spacing w:before="120"/>
              <w:rPr>
                <w:noProof/>
              </w:rPr>
            </w:pPr>
            <w:r>
              <w:rPr>
                <w:noProof/>
              </w:rPr>
              <w:lastRenderedPageBreak/>
              <w:t>Prentefnin skulu ekki innihalda v</w:t>
            </w:r>
            <w:r w:rsidRPr="0020026B">
              <w:rPr>
                <w:noProof/>
              </w:rPr>
              <w:t xml:space="preserve">irk efni í þörungaeyðum og </w:t>
            </w:r>
            <w:r w:rsidRPr="00EC53F2">
              <w:rPr>
                <w:noProof/>
              </w:rPr>
              <w:t>rakagefandi efnum sem eru þess eðlis að þau safnist upp í lífverum</w:t>
            </w:r>
            <w:r>
              <w:rPr>
                <w:noProof/>
              </w:rPr>
              <w:t xml:space="preserve"> (BCF = 100 logKow &gt;3,0)</w:t>
            </w:r>
            <w:r w:rsidRPr="00EC53F2">
              <w:rPr>
                <w:noProof/>
              </w:rPr>
              <w:t xml:space="preserve">. </w:t>
            </w:r>
          </w:p>
          <w:p w:rsidR="00546777" w:rsidRPr="00546777" w:rsidRDefault="00546777" w:rsidP="00546777">
            <w:r w:rsidRPr="00EC53F2">
              <w:rPr>
                <w:b/>
              </w:rPr>
              <w:t>Staðfesting:</w:t>
            </w:r>
            <w:r w:rsidRPr="00EC53F2">
              <w:t xml:space="preserve"> </w:t>
            </w:r>
            <w:r w:rsidRPr="00C21EFC">
              <w:t>Sé varan merkt með norræna Svaninum</w:t>
            </w:r>
            <w:r>
              <w:t xml:space="preserve"> </w:t>
            </w:r>
            <w:r w:rsidRPr="00C21EFC">
              <w:t>er</w:t>
            </w:r>
            <w:r>
              <w:t xml:space="preserve"> það fullnægjandi staðfesting á að umhverfisviðmið séu </w:t>
            </w:r>
            <w:r w:rsidRPr="00C21EFC">
              <w:t>uppfyllt.</w:t>
            </w:r>
            <w:r>
              <w:t xml:space="preserve"> </w:t>
            </w:r>
            <w:r w:rsidRPr="00EC53F2">
              <w:t>Öll önnur viðurkennd sönnunargögn</w:t>
            </w:r>
            <w:r>
              <w:t xml:space="preserve"> eru tekin gild</w:t>
            </w:r>
            <w:r w:rsidRPr="00EC53F2">
              <w:t>, eins og öryggisblöð fyrir öll efni sem eru notuð í framleiðslunni og þar sem innihald þörungaeyða og rakagefandi efna</w:t>
            </w:r>
            <w:r>
              <w:t xml:space="preserve"> er tilgreint.</w:t>
            </w:r>
          </w:p>
        </w:tc>
      </w:tr>
      <w:tr w:rsidR="00546777" w:rsidRPr="00994DE5" w:rsidTr="00546777">
        <w:tc>
          <w:tcPr>
            <w:tcW w:w="9180" w:type="dxa"/>
            <w:vAlign w:val="center"/>
          </w:tcPr>
          <w:p w:rsidR="00546777" w:rsidRDefault="00546777" w:rsidP="00624B02">
            <w:pPr>
              <w:keepNext/>
              <w:widowControl w:val="0"/>
              <w:autoSpaceDE w:val="0"/>
              <w:autoSpaceDN w:val="0"/>
              <w:adjustRightInd w:val="0"/>
              <w:spacing w:before="120"/>
              <w:rPr>
                <w:b/>
              </w:rPr>
            </w:pPr>
            <w:r>
              <w:rPr>
                <w:b/>
              </w:rPr>
              <w:lastRenderedPageBreak/>
              <w:t>9</w:t>
            </w:r>
            <w:r w:rsidRPr="004C78E1">
              <w:rPr>
                <w:b/>
              </w:rPr>
              <w:t>.</w:t>
            </w:r>
            <w:r>
              <w:rPr>
                <w:b/>
              </w:rPr>
              <w:t xml:space="preserve"> </w:t>
            </w:r>
            <w:r w:rsidRPr="004C78E1">
              <w:rPr>
                <w:b/>
              </w:rPr>
              <w:t>Umbúðir</w:t>
            </w:r>
          </w:p>
          <w:p w:rsidR="00546777" w:rsidRDefault="00546777" w:rsidP="00624B02">
            <w:pPr>
              <w:rPr>
                <w:lang w:eastAsia="da-DK" w:bidi="hi-IN"/>
              </w:rPr>
            </w:pPr>
            <w:r w:rsidRPr="00C21EFC">
              <w:rPr>
                <w:lang w:eastAsia="da-DK" w:bidi="hi-IN"/>
              </w:rPr>
              <w:t xml:space="preserve">Ef vara er afhent í umbúðum úr plasti </w:t>
            </w:r>
            <w:r>
              <w:rPr>
                <w:lang w:eastAsia="da-DK" w:bidi="hi-IN"/>
              </w:rPr>
              <w:t>skulu u</w:t>
            </w:r>
            <w:r w:rsidRPr="00C21EFC">
              <w:rPr>
                <w:lang w:eastAsia="da-DK" w:bidi="hi-IN"/>
              </w:rPr>
              <w:t xml:space="preserve">mbúðir ekki innihalda </w:t>
            </w:r>
            <w:proofErr w:type="spellStart"/>
            <w:r w:rsidRPr="00C21EFC">
              <w:rPr>
                <w:lang w:eastAsia="da-DK" w:bidi="hi-IN"/>
              </w:rPr>
              <w:t>pólývínýlklóríð</w:t>
            </w:r>
            <w:proofErr w:type="spellEnd"/>
            <w:r w:rsidRPr="00C21EFC">
              <w:rPr>
                <w:lang w:eastAsia="da-DK" w:bidi="hi-IN"/>
              </w:rPr>
              <w:t xml:space="preserve"> </w:t>
            </w:r>
            <w:r w:rsidR="0076297B">
              <w:rPr>
                <w:lang w:eastAsia="da-DK" w:bidi="hi-IN"/>
              </w:rPr>
              <w:t>(</w:t>
            </w:r>
            <w:r w:rsidRPr="00C21EFC">
              <w:t xml:space="preserve">PVC </w:t>
            </w:r>
            <w:r w:rsidRPr="00C21EFC">
              <w:rPr>
                <w:lang w:eastAsia="da-DK" w:bidi="hi-IN"/>
              </w:rPr>
              <w:t>eða plastefni úr öðrum tegundum klóraðra efna.</w:t>
            </w:r>
          </w:p>
          <w:p w:rsidR="00546777" w:rsidRDefault="00546777" w:rsidP="00624B02">
            <w:r>
              <w:rPr>
                <w:b/>
                <w:lang w:eastAsia="da-DK" w:bidi="hi-IN"/>
              </w:rPr>
              <w:t xml:space="preserve">Staðfesting: </w:t>
            </w:r>
            <w:r>
              <w:rPr>
                <w:lang w:eastAsia="da-DK" w:bidi="hi-IN"/>
              </w:rPr>
              <w:t>Viðmið er uppfyllt er birgi leggur fram undirritaða yfirlýsingu þar að lútandi. Gert er ráð fyrir að kaupandi sannreyni hvort viðmið sé uppfyllt á samningstímabilinu og hann beiti viðeigandi viðurlögum ef viðmiðin eru ekki uppfyllt.</w:t>
            </w:r>
          </w:p>
        </w:tc>
      </w:tr>
    </w:tbl>
    <w:p w:rsidR="00AD29A1" w:rsidRPr="00AD29A1" w:rsidRDefault="00AD29A1" w:rsidP="00AD29A1"/>
    <w:sectPr w:rsidR="00AD29A1" w:rsidRPr="00AD29A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79" w:rsidRDefault="00980979" w:rsidP="00F51B15">
      <w:pPr>
        <w:spacing w:after="0" w:line="240" w:lineRule="auto"/>
      </w:pPr>
      <w:r>
        <w:separator/>
      </w:r>
    </w:p>
  </w:endnote>
  <w:endnote w:type="continuationSeparator" w:id="0">
    <w:p w:rsidR="00980979" w:rsidRDefault="00980979" w:rsidP="00F5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9" w:rsidRDefault="009809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9" w:rsidRPr="00F51B15" w:rsidRDefault="00980979" w:rsidP="00F51B15">
    <w:pPr>
      <w:pStyle w:val="Footer"/>
      <w:jc w:val="right"/>
      <w:rPr>
        <w:sz w:val="22"/>
      </w:rPr>
    </w:pPr>
    <w:r w:rsidRPr="00F51B15">
      <w:rPr>
        <w:noProof/>
        <w:sz w:val="22"/>
      </w:rPr>
      <w:fldChar w:fldCharType="begin"/>
    </w:r>
    <w:r w:rsidRPr="00F51B15">
      <w:rPr>
        <w:noProof/>
        <w:sz w:val="22"/>
      </w:rPr>
      <w:instrText xml:space="preserve"> PAGE  \* Arabic  \* MERGEFORMAT </w:instrText>
    </w:r>
    <w:r w:rsidRPr="00F51B15">
      <w:rPr>
        <w:noProof/>
        <w:sz w:val="22"/>
      </w:rPr>
      <w:fldChar w:fldCharType="separate"/>
    </w:r>
    <w:r w:rsidR="00D50057">
      <w:rPr>
        <w:noProof/>
        <w:sz w:val="22"/>
      </w:rPr>
      <w:t>4</w:t>
    </w:r>
    <w:r w:rsidRPr="00F51B15">
      <w:rPr>
        <w:noProof/>
        <w:sz w:val="22"/>
      </w:rPr>
      <w:fldChar w:fldCharType="end"/>
    </w:r>
    <w:r w:rsidRPr="00F51B15">
      <w:rPr>
        <w:noProof/>
        <w:sz w:val="22"/>
      </w:rPr>
      <w:t xml:space="preserve"> / </w:t>
    </w:r>
    <w:r w:rsidRPr="00F51B15">
      <w:rPr>
        <w:noProof/>
        <w:sz w:val="22"/>
      </w:rPr>
      <w:fldChar w:fldCharType="begin"/>
    </w:r>
    <w:r w:rsidRPr="00F51B15">
      <w:rPr>
        <w:noProof/>
        <w:sz w:val="22"/>
      </w:rPr>
      <w:instrText xml:space="preserve"> NUMPAGES  \* Arabic  \* MERGEFORMAT </w:instrText>
    </w:r>
    <w:r w:rsidRPr="00F51B15">
      <w:rPr>
        <w:noProof/>
        <w:sz w:val="22"/>
      </w:rPr>
      <w:fldChar w:fldCharType="separate"/>
    </w:r>
    <w:r w:rsidR="00D50057">
      <w:rPr>
        <w:noProof/>
        <w:sz w:val="22"/>
      </w:rPr>
      <w:t>4</w:t>
    </w:r>
    <w:r w:rsidRPr="00F51B15">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9" w:rsidRDefault="00980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79" w:rsidRDefault="00980979" w:rsidP="00F51B15">
      <w:pPr>
        <w:spacing w:after="0" w:line="240" w:lineRule="auto"/>
      </w:pPr>
      <w:r>
        <w:separator/>
      </w:r>
    </w:p>
  </w:footnote>
  <w:footnote w:type="continuationSeparator" w:id="0">
    <w:p w:rsidR="00980979" w:rsidRDefault="00980979" w:rsidP="00F51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9" w:rsidRDefault="00980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9" w:rsidRDefault="00980979">
    <w:pPr>
      <w:pStyle w:val="Header"/>
      <w:rPr>
        <w:color w:val="808080" w:themeColor="background1" w:themeShade="80"/>
      </w:rPr>
    </w:pPr>
    <w:r>
      <w:rPr>
        <w:noProof/>
        <w:color w:val="808080" w:themeColor="background1" w:themeShade="80"/>
        <w:lang w:eastAsia="is-IS"/>
      </w:rPr>
      <w:drawing>
        <wp:inline distT="0" distB="0" distL="0" distR="0" wp14:anchorId="3143FFA6" wp14:editId="18B341DF">
          <wp:extent cx="1282535" cy="47423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g texti VISTVÆN INNKAUP.jpg"/>
                  <pic:cNvPicPr/>
                </pic:nvPicPr>
                <pic:blipFill>
                  <a:blip r:embed="rId1">
                    <a:extLst>
                      <a:ext uri="{28A0092B-C50C-407E-A947-70E740481C1C}">
                        <a14:useLocalDpi xmlns:a14="http://schemas.microsoft.com/office/drawing/2010/main" val="0"/>
                      </a:ext>
                    </a:extLst>
                  </a:blip>
                  <a:stretch>
                    <a:fillRect/>
                  </a:stretch>
                </pic:blipFill>
                <pic:spPr>
                  <a:xfrm>
                    <a:off x="0" y="0"/>
                    <a:ext cx="1283537" cy="474605"/>
                  </a:xfrm>
                  <a:prstGeom prst="rect">
                    <a:avLst/>
                  </a:prstGeom>
                </pic:spPr>
              </pic:pic>
            </a:graphicData>
          </a:graphic>
        </wp:inline>
      </w:drawing>
    </w:r>
  </w:p>
  <w:p w:rsidR="00980979" w:rsidRPr="000A49FB" w:rsidRDefault="00980979">
    <w:pPr>
      <w:pStyle w:val="Header"/>
      <w:rPr>
        <w:color w:val="808080" w:themeColor="background1" w:themeShade="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9" w:rsidRDefault="00980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E9A"/>
    <w:multiLevelType w:val="hybridMultilevel"/>
    <w:tmpl w:val="2E8878DA"/>
    <w:lvl w:ilvl="0" w:tplc="15D8696C">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06616878"/>
    <w:multiLevelType w:val="hybridMultilevel"/>
    <w:tmpl w:val="379A94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13C77D72"/>
    <w:multiLevelType w:val="hybridMultilevel"/>
    <w:tmpl w:val="D16478BC"/>
    <w:lvl w:ilvl="0" w:tplc="C91A5E1E">
      <w:start w:val="2"/>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197E2B0B"/>
    <w:multiLevelType w:val="hybridMultilevel"/>
    <w:tmpl w:val="5E567D02"/>
    <w:lvl w:ilvl="0" w:tplc="989C15BA">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
    <w:nsid w:val="230375A3"/>
    <w:multiLevelType w:val="hybridMultilevel"/>
    <w:tmpl w:val="9370944A"/>
    <w:lvl w:ilvl="0" w:tplc="9A401E4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24DA6635"/>
    <w:multiLevelType w:val="hybridMultilevel"/>
    <w:tmpl w:val="B8D6775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279D5EB0"/>
    <w:multiLevelType w:val="hybridMultilevel"/>
    <w:tmpl w:val="8C90D472"/>
    <w:lvl w:ilvl="0" w:tplc="15D8696C">
      <w:numFmt w:val="bullet"/>
      <w:lvlText w:val="-"/>
      <w:lvlJc w:val="left"/>
      <w:pPr>
        <w:ind w:left="360" w:hanging="360"/>
      </w:pPr>
      <w:rPr>
        <w:rFonts w:ascii="Times New Roman" w:eastAsia="Times New Roman" w:hAnsi="Times New Roman" w:cs="Times New Roman"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7">
    <w:nsid w:val="3011387B"/>
    <w:multiLevelType w:val="hybridMultilevel"/>
    <w:tmpl w:val="68725138"/>
    <w:lvl w:ilvl="0" w:tplc="989C15BA">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8">
    <w:nsid w:val="35984281"/>
    <w:multiLevelType w:val="hybridMultilevel"/>
    <w:tmpl w:val="9370944A"/>
    <w:lvl w:ilvl="0" w:tplc="9A401E4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nsid w:val="3C095BE0"/>
    <w:multiLevelType w:val="hybridMultilevel"/>
    <w:tmpl w:val="BB88FB40"/>
    <w:lvl w:ilvl="0" w:tplc="50CAABEE">
      <w:start w:val="2"/>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40A2411C"/>
    <w:multiLevelType w:val="hybridMultilevel"/>
    <w:tmpl w:val="F27C3D6A"/>
    <w:lvl w:ilvl="0" w:tplc="87F6628E">
      <w:start w:val="3"/>
      <w:numFmt w:val="decimal"/>
      <w:lvlText w:val="%1."/>
      <w:lvlJc w:val="left"/>
      <w:pPr>
        <w:ind w:left="36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44006B1D"/>
    <w:multiLevelType w:val="multilevel"/>
    <w:tmpl w:val="BEEE575E"/>
    <w:lvl w:ilvl="0">
      <w:start w:val="1"/>
      <w:numFmt w:val="decimal"/>
      <w:pStyle w:val="Headline1"/>
      <w:lvlText w:val="%1."/>
      <w:lvlJc w:val="left"/>
      <w:pPr>
        <w:tabs>
          <w:tab w:val="num" w:pos="432"/>
        </w:tabs>
        <w:ind w:left="432" w:hanging="432"/>
      </w:pPr>
      <w:rPr>
        <w:rFonts w:ascii="Times New Roman" w:hAnsi="Times New Roman" w:hint="default"/>
        <w:b w:val="0"/>
        <w:i w:val="0"/>
        <w:sz w:val="52"/>
        <w:lang w:val="en-GB"/>
      </w:rPr>
    </w:lvl>
    <w:lvl w:ilvl="1">
      <w:start w:val="1"/>
      <w:numFmt w:val="decimal"/>
      <w:pStyle w:val="Headline2"/>
      <w:lvlText w:val="%1.%2."/>
      <w:lvlJc w:val="left"/>
      <w:pPr>
        <w:tabs>
          <w:tab w:val="num" w:pos="576"/>
        </w:tabs>
        <w:ind w:left="576" w:hanging="576"/>
      </w:pPr>
      <w:rPr>
        <w:rFonts w:ascii="Times New Roman" w:hAnsi="Times New Roman" w:hint="default"/>
        <w:b w:val="0"/>
        <w:i w:val="0"/>
        <w:sz w:val="32"/>
      </w:rPr>
    </w:lvl>
    <w:lvl w:ilvl="2">
      <w:start w:val="1"/>
      <w:numFmt w:val="decimal"/>
      <w:pStyle w:val="Headline3"/>
      <w:lvlText w:val="%1.%2.%3."/>
      <w:lvlJc w:val="left"/>
      <w:pPr>
        <w:tabs>
          <w:tab w:val="num" w:pos="720"/>
        </w:tabs>
        <w:ind w:left="720" w:hanging="720"/>
      </w:pPr>
      <w:rPr>
        <w:rFonts w:ascii="Times New Roman" w:hAnsi="Times New Roman" w:hint="default"/>
        <w:b w:val="0"/>
        <w:i/>
        <w:sz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D866571"/>
    <w:multiLevelType w:val="hybridMultilevel"/>
    <w:tmpl w:val="7D86184E"/>
    <w:lvl w:ilvl="0" w:tplc="989C15B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5E342DC3"/>
    <w:multiLevelType w:val="hybridMultilevel"/>
    <w:tmpl w:val="038A07A6"/>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nsid w:val="5ED13DCF"/>
    <w:multiLevelType w:val="hybridMultilevel"/>
    <w:tmpl w:val="F990BDB8"/>
    <w:lvl w:ilvl="0" w:tplc="9826642E">
      <w:start w:val="3"/>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5F1E592F"/>
    <w:multiLevelType w:val="multilevel"/>
    <w:tmpl w:val="040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68316E73"/>
    <w:multiLevelType w:val="hybridMultilevel"/>
    <w:tmpl w:val="7D86184E"/>
    <w:lvl w:ilvl="0" w:tplc="989C15BA">
      <w:start w:val="1"/>
      <w:numFmt w:val="decimal"/>
      <w:lvlText w:val="%1."/>
      <w:lvlJc w:val="left"/>
      <w:pPr>
        <w:ind w:left="36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nsid w:val="74CC10E7"/>
    <w:multiLevelType w:val="hybridMultilevel"/>
    <w:tmpl w:val="725218D2"/>
    <w:lvl w:ilvl="0" w:tplc="7062F276">
      <w:start w:val="1"/>
      <w:numFmt w:val="lowerLetter"/>
      <w:lvlText w:val="%1)"/>
      <w:lvlJc w:val="left"/>
      <w:pPr>
        <w:ind w:left="360" w:hanging="360"/>
      </w:pPr>
      <w:rPr>
        <w:rFonts w:hint="default"/>
        <w:b/>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13"/>
  </w:num>
  <w:num w:numId="4">
    <w:abstractNumId w:val="3"/>
  </w:num>
  <w:num w:numId="5">
    <w:abstractNumId w:val="7"/>
  </w:num>
  <w:num w:numId="6">
    <w:abstractNumId w:val="2"/>
  </w:num>
  <w:num w:numId="7">
    <w:abstractNumId w:val="10"/>
  </w:num>
  <w:num w:numId="8">
    <w:abstractNumId w:val="17"/>
  </w:num>
  <w:num w:numId="9">
    <w:abstractNumId w:val="16"/>
  </w:num>
  <w:num w:numId="10">
    <w:abstractNumId w:val="12"/>
  </w:num>
  <w:num w:numId="11">
    <w:abstractNumId w:val="9"/>
  </w:num>
  <w:num w:numId="12">
    <w:abstractNumId w:val="14"/>
  </w:num>
  <w:num w:numId="13">
    <w:abstractNumId w:val="4"/>
  </w:num>
  <w:num w:numId="14">
    <w:abstractNumId w:val="8"/>
  </w:num>
  <w:num w:numId="15">
    <w:abstractNumId w:val="11"/>
  </w:num>
  <w:num w:numId="16">
    <w:abstractNumId w:val="0"/>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D8"/>
    <w:rsid w:val="00076C1B"/>
    <w:rsid w:val="000A49FB"/>
    <w:rsid w:val="002A0F11"/>
    <w:rsid w:val="002F57F8"/>
    <w:rsid w:val="003373AF"/>
    <w:rsid w:val="00546777"/>
    <w:rsid w:val="005A325D"/>
    <w:rsid w:val="00690E3B"/>
    <w:rsid w:val="007566D8"/>
    <w:rsid w:val="0076297B"/>
    <w:rsid w:val="007D3928"/>
    <w:rsid w:val="00957923"/>
    <w:rsid w:val="00980979"/>
    <w:rsid w:val="00994DE5"/>
    <w:rsid w:val="009E587C"/>
    <w:rsid w:val="00AC62B2"/>
    <w:rsid w:val="00AD29A1"/>
    <w:rsid w:val="00B17204"/>
    <w:rsid w:val="00BA286C"/>
    <w:rsid w:val="00D50057"/>
    <w:rsid w:val="00DA346D"/>
    <w:rsid w:val="00F404FF"/>
    <w:rsid w:val="00F43E05"/>
    <w:rsid w:val="00F51B1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15"/>
    <w:pPr>
      <w:spacing w:after="120"/>
    </w:pPr>
    <w:rPr>
      <w:rFonts w:ascii="Times New Roman" w:hAnsi="Times New Roman"/>
      <w:sz w:val="24"/>
    </w:rPr>
  </w:style>
  <w:style w:type="paragraph" w:styleId="Heading1">
    <w:name w:val="heading 1"/>
    <w:basedOn w:val="Normal"/>
    <w:next w:val="Normal"/>
    <w:link w:val="Heading1Char"/>
    <w:uiPriority w:val="9"/>
    <w:qFormat/>
    <w:rsid w:val="000A49FB"/>
    <w:pPr>
      <w:keepNext/>
      <w:keepLines/>
      <w:numPr>
        <w:numId w:val="1"/>
      </w:numPr>
      <w:pBdr>
        <w:top w:val="single" w:sz="4" w:space="1" w:color="808080" w:themeColor="background1" w:themeShade="80"/>
        <w:bottom w:val="single" w:sz="4" w:space="1" w:color="808080" w:themeColor="background1" w:themeShade="80"/>
      </w:pBdr>
      <w:spacing w:before="480" w:after="240"/>
      <w:ind w:left="431" w:hanging="431"/>
      <w:outlineLvl w:val="0"/>
    </w:pPr>
    <w:rPr>
      <w:rFonts w:eastAsiaTheme="majorEastAsia" w:cstheme="majorBidi"/>
      <w:b/>
      <w:bCs/>
      <w:smallCaps/>
      <w:sz w:val="32"/>
      <w:szCs w:val="28"/>
    </w:rPr>
  </w:style>
  <w:style w:type="paragraph" w:styleId="Heading2">
    <w:name w:val="heading 2"/>
    <w:basedOn w:val="Normal"/>
    <w:next w:val="Normal"/>
    <w:link w:val="Heading2Char"/>
    <w:uiPriority w:val="9"/>
    <w:unhideWhenUsed/>
    <w:qFormat/>
    <w:rsid w:val="007566D8"/>
    <w:pPr>
      <w:keepNext/>
      <w:keepLines/>
      <w:numPr>
        <w:ilvl w:val="1"/>
        <w:numId w:val="1"/>
      </w:numPr>
      <w:spacing w:before="200" w:after="0"/>
      <w:outlineLvl w:val="1"/>
    </w:pPr>
    <w:rPr>
      <w:rFonts w:eastAsiaTheme="majorEastAsia" w:cstheme="majorBidi"/>
      <w:b/>
      <w:bCs/>
      <w:smallCaps/>
      <w:sz w:val="28"/>
      <w:szCs w:val="26"/>
    </w:rPr>
  </w:style>
  <w:style w:type="paragraph" w:styleId="Heading3">
    <w:name w:val="heading 3"/>
    <w:basedOn w:val="Normal"/>
    <w:next w:val="Normal"/>
    <w:link w:val="Heading3Char"/>
    <w:uiPriority w:val="9"/>
    <w:unhideWhenUsed/>
    <w:qFormat/>
    <w:rsid w:val="007566D8"/>
    <w:pPr>
      <w:keepNext/>
      <w:keepLines/>
      <w:numPr>
        <w:ilvl w:val="2"/>
        <w:numId w:val="1"/>
      </w:numPr>
      <w:spacing w:before="200" w:after="0"/>
      <w:outlineLvl w:val="2"/>
    </w:pPr>
    <w:rPr>
      <w:rFonts w:eastAsiaTheme="majorEastAsia" w:cstheme="majorBidi"/>
      <w:bCs/>
      <w:smallCaps/>
    </w:rPr>
  </w:style>
  <w:style w:type="paragraph" w:styleId="Heading4">
    <w:name w:val="heading 4"/>
    <w:basedOn w:val="Normal"/>
    <w:next w:val="Normal"/>
    <w:link w:val="Heading4Char"/>
    <w:uiPriority w:val="9"/>
    <w:semiHidden/>
    <w:unhideWhenUsed/>
    <w:qFormat/>
    <w:rsid w:val="007566D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66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FB"/>
    <w:rPr>
      <w:rFonts w:ascii="Times New Roman" w:eastAsiaTheme="majorEastAsia" w:hAnsi="Times New Roman" w:cstheme="majorBidi"/>
      <w:b/>
      <w:bCs/>
      <w:smallCaps/>
      <w:sz w:val="32"/>
      <w:szCs w:val="28"/>
    </w:rPr>
  </w:style>
  <w:style w:type="character" w:customStyle="1" w:styleId="Heading2Char">
    <w:name w:val="Heading 2 Char"/>
    <w:basedOn w:val="DefaultParagraphFont"/>
    <w:link w:val="Heading2"/>
    <w:uiPriority w:val="9"/>
    <w:rsid w:val="007566D8"/>
    <w:rPr>
      <w:rFonts w:ascii="Times New Roman" w:eastAsiaTheme="majorEastAsia" w:hAnsi="Times New Roman" w:cstheme="majorBidi"/>
      <w:b/>
      <w:bCs/>
      <w:smallCaps/>
      <w:sz w:val="28"/>
      <w:szCs w:val="26"/>
    </w:rPr>
  </w:style>
  <w:style w:type="character" w:customStyle="1" w:styleId="Heading3Char">
    <w:name w:val="Heading 3 Char"/>
    <w:basedOn w:val="DefaultParagraphFont"/>
    <w:link w:val="Heading3"/>
    <w:uiPriority w:val="9"/>
    <w:rsid w:val="007566D8"/>
    <w:rPr>
      <w:rFonts w:ascii="Times New Roman" w:eastAsiaTheme="majorEastAsia" w:hAnsi="Times New Roman" w:cstheme="majorBidi"/>
      <w:bCs/>
      <w:smallCaps/>
      <w:sz w:val="24"/>
    </w:rPr>
  </w:style>
  <w:style w:type="character" w:customStyle="1" w:styleId="Heading4Char">
    <w:name w:val="Heading 4 Char"/>
    <w:basedOn w:val="DefaultParagraphFont"/>
    <w:link w:val="Heading4"/>
    <w:uiPriority w:val="9"/>
    <w:semiHidden/>
    <w:rsid w:val="007566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66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66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66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66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6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1B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B15"/>
    <w:rPr>
      <w:rFonts w:ascii="Times New Roman" w:hAnsi="Times New Roman"/>
      <w:sz w:val="24"/>
    </w:rPr>
  </w:style>
  <w:style w:type="paragraph" w:styleId="Footer">
    <w:name w:val="footer"/>
    <w:basedOn w:val="Normal"/>
    <w:link w:val="FooterChar"/>
    <w:uiPriority w:val="99"/>
    <w:unhideWhenUsed/>
    <w:rsid w:val="00F51B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B15"/>
    <w:rPr>
      <w:rFonts w:ascii="Times New Roman" w:hAnsi="Times New Roman"/>
      <w:sz w:val="24"/>
    </w:rPr>
  </w:style>
  <w:style w:type="table" w:styleId="TableGrid">
    <w:name w:val="Table Grid"/>
    <w:basedOn w:val="TableNormal"/>
    <w:uiPriority w:val="59"/>
    <w:rsid w:val="00F5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ill">
    <w:name w:val="Titill"/>
    <w:basedOn w:val="Normal"/>
    <w:qFormat/>
    <w:rsid w:val="00B17204"/>
    <w:pPr>
      <w:spacing w:before="120" w:line="240" w:lineRule="auto"/>
    </w:pPr>
    <w:rPr>
      <w:b/>
      <w:smallCaps/>
      <w:sz w:val="36"/>
    </w:rPr>
  </w:style>
  <w:style w:type="paragraph" w:styleId="BalloonText">
    <w:name w:val="Balloon Text"/>
    <w:basedOn w:val="Normal"/>
    <w:link w:val="BalloonTextChar"/>
    <w:uiPriority w:val="99"/>
    <w:semiHidden/>
    <w:unhideWhenUsed/>
    <w:rsid w:val="002F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F8"/>
    <w:rPr>
      <w:rFonts w:ascii="Tahoma" w:hAnsi="Tahoma" w:cs="Tahoma"/>
      <w:sz w:val="16"/>
      <w:szCs w:val="16"/>
    </w:rPr>
  </w:style>
  <w:style w:type="character" w:styleId="Hyperlink">
    <w:name w:val="Hyperlink"/>
    <w:basedOn w:val="DefaultParagraphFont"/>
    <w:uiPriority w:val="99"/>
    <w:unhideWhenUsed/>
    <w:rsid w:val="002A0F11"/>
    <w:rPr>
      <w:color w:val="0000FF" w:themeColor="hyperlink"/>
      <w:u w:val="single"/>
    </w:rPr>
  </w:style>
  <w:style w:type="paragraph" w:styleId="ListParagraph">
    <w:name w:val="List Paragraph"/>
    <w:basedOn w:val="Normal"/>
    <w:uiPriority w:val="34"/>
    <w:qFormat/>
    <w:rsid w:val="00DA346D"/>
    <w:pPr>
      <w:ind w:left="720"/>
      <w:contextualSpacing/>
    </w:pPr>
  </w:style>
  <w:style w:type="table" w:customStyle="1" w:styleId="TableGrid1">
    <w:name w:val="Table Grid1"/>
    <w:basedOn w:val="TableNormal"/>
    <w:next w:val="TableGrid"/>
    <w:uiPriority w:val="59"/>
    <w:rsid w:val="00994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4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DE5"/>
    <w:rPr>
      <w:rFonts w:ascii="Times New Roman" w:hAnsi="Times New Roman"/>
      <w:sz w:val="20"/>
      <w:szCs w:val="20"/>
    </w:rPr>
  </w:style>
  <w:style w:type="character" w:styleId="FootnoteReference">
    <w:name w:val="footnote reference"/>
    <w:basedOn w:val="DefaultParagraphFont"/>
    <w:uiPriority w:val="99"/>
    <w:semiHidden/>
    <w:unhideWhenUsed/>
    <w:rsid w:val="00994DE5"/>
    <w:rPr>
      <w:vertAlign w:val="superscript"/>
    </w:rPr>
  </w:style>
  <w:style w:type="paragraph" w:customStyle="1" w:styleId="Headline2">
    <w:name w:val="Headline 2"/>
    <w:basedOn w:val="Headline1"/>
    <w:autoRedefine/>
    <w:rsid w:val="00546777"/>
    <w:pPr>
      <w:keepNext w:val="0"/>
      <w:pageBreakBefore w:val="0"/>
      <w:numPr>
        <w:ilvl w:val="1"/>
      </w:numPr>
      <w:spacing w:before="360" w:after="240" w:line="320" w:lineRule="exact"/>
      <w:ind w:left="578" w:hanging="578"/>
    </w:pPr>
    <w:rPr>
      <w:rFonts w:ascii="Times New Roman" w:hAnsi="Times New Roman"/>
      <w:sz w:val="28"/>
      <w:lang w:val="en-GB"/>
    </w:rPr>
  </w:style>
  <w:style w:type="paragraph" w:customStyle="1" w:styleId="Headline3">
    <w:name w:val="Headline 3"/>
    <w:autoRedefine/>
    <w:rsid w:val="00546777"/>
    <w:pPr>
      <w:keepNext/>
      <w:numPr>
        <w:ilvl w:val="2"/>
        <w:numId w:val="15"/>
      </w:numPr>
      <w:suppressAutoHyphens/>
      <w:spacing w:before="440" w:after="120" w:line="280" w:lineRule="exact"/>
    </w:pPr>
    <w:rPr>
      <w:rFonts w:ascii="Times New Roman" w:eastAsia="Times New Roman" w:hAnsi="Times New Roman" w:cs="Times New Roman"/>
      <w:i/>
      <w:szCs w:val="20"/>
      <w:lang w:val="en-US" w:eastAsia="da-DK"/>
    </w:rPr>
  </w:style>
  <w:style w:type="paragraph" w:customStyle="1" w:styleId="Headline1">
    <w:name w:val="Headline 1"/>
    <w:basedOn w:val="Normal"/>
    <w:autoRedefine/>
    <w:rsid w:val="00546777"/>
    <w:pPr>
      <w:keepNext/>
      <w:pageBreakBefore/>
      <w:numPr>
        <w:numId w:val="15"/>
      </w:numPr>
      <w:tabs>
        <w:tab w:val="left" w:pos="680"/>
      </w:tabs>
      <w:suppressAutoHyphens/>
      <w:spacing w:after="1120" w:line="440" w:lineRule="exact"/>
      <w:ind w:left="431" w:hanging="431"/>
    </w:pPr>
    <w:rPr>
      <w:rFonts w:ascii="TimesNewRoman" w:eastAsia="Times New Roman" w:hAnsi="TimesNewRoman" w:cs="Times New Roman"/>
      <w:sz w:val="48"/>
      <w:szCs w:val="20"/>
      <w:lang w:val="de-DE" w:eastAsia="da-DK"/>
    </w:rPr>
  </w:style>
  <w:style w:type="paragraph" w:customStyle="1" w:styleId="Headline5">
    <w:name w:val="Headline5"/>
    <w:basedOn w:val="Normal"/>
    <w:autoRedefine/>
    <w:rsid w:val="00546777"/>
    <w:pPr>
      <w:spacing w:before="120" w:line="280" w:lineRule="exact"/>
      <w:ind w:right="62"/>
    </w:pPr>
    <w:rPr>
      <w:rFonts w:eastAsia="Times New Roman" w:cs="Times New Roman"/>
      <w:b/>
      <w:i/>
      <w:lang w:val="en-GB" w:eastAsia="da-DK"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15"/>
    <w:pPr>
      <w:spacing w:after="120"/>
    </w:pPr>
    <w:rPr>
      <w:rFonts w:ascii="Times New Roman" w:hAnsi="Times New Roman"/>
      <w:sz w:val="24"/>
    </w:rPr>
  </w:style>
  <w:style w:type="paragraph" w:styleId="Heading1">
    <w:name w:val="heading 1"/>
    <w:basedOn w:val="Normal"/>
    <w:next w:val="Normal"/>
    <w:link w:val="Heading1Char"/>
    <w:uiPriority w:val="9"/>
    <w:qFormat/>
    <w:rsid w:val="000A49FB"/>
    <w:pPr>
      <w:keepNext/>
      <w:keepLines/>
      <w:numPr>
        <w:numId w:val="1"/>
      </w:numPr>
      <w:pBdr>
        <w:top w:val="single" w:sz="4" w:space="1" w:color="808080" w:themeColor="background1" w:themeShade="80"/>
        <w:bottom w:val="single" w:sz="4" w:space="1" w:color="808080" w:themeColor="background1" w:themeShade="80"/>
      </w:pBdr>
      <w:spacing w:before="480" w:after="240"/>
      <w:ind w:left="431" w:hanging="431"/>
      <w:outlineLvl w:val="0"/>
    </w:pPr>
    <w:rPr>
      <w:rFonts w:eastAsiaTheme="majorEastAsia" w:cstheme="majorBidi"/>
      <w:b/>
      <w:bCs/>
      <w:smallCaps/>
      <w:sz w:val="32"/>
      <w:szCs w:val="28"/>
    </w:rPr>
  </w:style>
  <w:style w:type="paragraph" w:styleId="Heading2">
    <w:name w:val="heading 2"/>
    <w:basedOn w:val="Normal"/>
    <w:next w:val="Normal"/>
    <w:link w:val="Heading2Char"/>
    <w:uiPriority w:val="9"/>
    <w:unhideWhenUsed/>
    <w:qFormat/>
    <w:rsid w:val="007566D8"/>
    <w:pPr>
      <w:keepNext/>
      <w:keepLines/>
      <w:numPr>
        <w:ilvl w:val="1"/>
        <w:numId w:val="1"/>
      </w:numPr>
      <w:spacing w:before="200" w:after="0"/>
      <w:outlineLvl w:val="1"/>
    </w:pPr>
    <w:rPr>
      <w:rFonts w:eastAsiaTheme="majorEastAsia" w:cstheme="majorBidi"/>
      <w:b/>
      <w:bCs/>
      <w:smallCaps/>
      <w:sz w:val="28"/>
      <w:szCs w:val="26"/>
    </w:rPr>
  </w:style>
  <w:style w:type="paragraph" w:styleId="Heading3">
    <w:name w:val="heading 3"/>
    <w:basedOn w:val="Normal"/>
    <w:next w:val="Normal"/>
    <w:link w:val="Heading3Char"/>
    <w:uiPriority w:val="9"/>
    <w:unhideWhenUsed/>
    <w:qFormat/>
    <w:rsid w:val="007566D8"/>
    <w:pPr>
      <w:keepNext/>
      <w:keepLines/>
      <w:numPr>
        <w:ilvl w:val="2"/>
        <w:numId w:val="1"/>
      </w:numPr>
      <w:spacing w:before="200" w:after="0"/>
      <w:outlineLvl w:val="2"/>
    </w:pPr>
    <w:rPr>
      <w:rFonts w:eastAsiaTheme="majorEastAsia" w:cstheme="majorBidi"/>
      <w:bCs/>
      <w:smallCaps/>
    </w:rPr>
  </w:style>
  <w:style w:type="paragraph" w:styleId="Heading4">
    <w:name w:val="heading 4"/>
    <w:basedOn w:val="Normal"/>
    <w:next w:val="Normal"/>
    <w:link w:val="Heading4Char"/>
    <w:uiPriority w:val="9"/>
    <w:semiHidden/>
    <w:unhideWhenUsed/>
    <w:qFormat/>
    <w:rsid w:val="007566D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66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9FB"/>
    <w:rPr>
      <w:rFonts w:ascii="Times New Roman" w:eastAsiaTheme="majorEastAsia" w:hAnsi="Times New Roman" w:cstheme="majorBidi"/>
      <w:b/>
      <w:bCs/>
      <w:smallCaps/>
      <w:sz w:val="32"/>
      <w:szCs w:val="28"/>
    </w:rPr>
  </w:style>
  <w:style w:type="character" w:customStyle="1" w:styleId="Heading2Char">
    <w:name w:val="Heading 2 Char"/>
    <w:basedOn w:val="DefaultParagraphFont"/>
    <w:link w:val="Heading2"/>
    <w:uiPriority w:val="9"/>
    <w:rsid w:val="007566D8"/>
    <w:rPr>
      <w:rFonts w:ascii="Times New Roman" w:eastAsiaTheme="majorEastAsia" w:hAnsi="Times New Roman" w:cstheme="majorBidi"/>
      <w:b/>
      <w:bCs/>
      <w:smallCaps/>
      <w:sz w:val="28"/>
      <w:szCs w:val="26"/>
    </w:rPr>
  </w:style>
  <w:style w:type="character" w:customStyle="1" w:styleId="Heading3Char">
    <w:name w:val="Heading 3 Char"/>
    <w:basedOn w:val="DefaultParagraphFont"/>
    <w:link w:val="Heading3"/>
    <w:uiPriority w:val="9"/>
    <w:rsid w:val="007566D8"/>
    <w:rPr>
      <w:rFonts w:ascii="Times New Roman" w:eastAsiaTheme="majorEastAsia" w:hAnsi="Times New Roman" w:cstheme="majorBidi"/>
      <w:bCs/>
      <w:smallCaps/>
      <w:sz w:val="24"/>
    </w:rPr>
  </w:style>
  <w:style w:type="character" w:customStyle="1" w:styleId="Heading4Char">
    <w:name w:val="Heading 4 Char"/>
    <w:basedOn w:val="DefaultParagraphFont"/>
    <w:link w:val="Heading4"/>
    <w:uiPriority w:val="9"/>
    <w:semiHidden/>
    <w:rsid w:val="007566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66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66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66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66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6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1B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B15"/>
    <w:rPr>
      <w:rFonts w:ascii="Times New Roman" w:hAnsi="Times New Roman"/>
      <w:sz w:val="24"/>
    </w:rPr>
  </w:style>
  <w:style w:type="paragraph" w:styleId="Footer">
    <w:name w:val="footer"/>
    <w:basedOn w:val="Normal"/>
    <w:link w:val="FooterChar"/>
    <w:uiPriority w:val="99"/>
    <w:unhideWhenUsed/>
    <w:rsid w:val="00F51B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1B15"/>
    <w:rPr>
      <w:rFonts w:ascii="Times New Roman" w:hAnsi="Times New Roman"/>
      <w:sz w:val="24"/>
    </w:rPr>
  </w:style>
  <w:style w:type="table" w:styleId="TableGrid">
    <w:name w:val="Table Grid"/>
    <w:basedOn w:val="TableNormal"/>
    <w:uiPriority w:val="59"/>
    <w:rsid w:val="00F51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ill">
    <w:name w:val="Titill"/>
    <w:basedOn w:val="Normal"/>
    <w:qFormat/>
    <w:rsid w:val="00B17204"/>
    <w:pPr>
      <w:spacing w:before="120" w:line="240" w:lineRule="auto"/>
    </w:pPr>
    <w:rPr>
      <w:b/>
      <w:smallCaps/>
      <w:sz w:val="36"/>
    </w:rPr>
  </w:style>
  <w:style w:type="paragraph" w:styleId="BalloonText">
    <w:name w:val="Balloon Text"/>
    <w:basedOn w:val="Normal"/>
    <w:link w:val="BalloonTextChar"/>
    <w:uiPriority w:val="99"/>
    <w:semiHidden/>
    <w:unhideWhenUsed/>
    <w:rsid w:val="002F5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F8"/>
    <w:rPr>
      <w:rFonts w:ascii="Tahoma" w:hAnsi="Tahoma" w:cs="Tahoma"/>
      <w:sz w:val="16"/>
      <w:szCs w:val="16"/>
    </w:rPr>
  </w:style>
  <w:style w:type="character" w:styleId="Hyperlink">
    <w:name w:val="Hyperlink"/>
    <w:basedOn w:val="DefaultParagraphFont"/>
    <w:uiPriority w:val="99"/>
    <w:unhideWhenUsed/>
    <w:rsid w:val="002A0F11"/>
    <w:rPr>
      <w:color w:val="0000FF" w:themeColor="hyperlink"/>
      <w:u w:val="single"/>
    </w:rPr>
  </w:style>
  <w:style w:type="paragraph" w:styleId="ListParagraph">
    <w:name w:val="List Paragraph"/>
    <w:basedOn w:val="Normal"/>
    <w:uiPriority w:val="34"/>
    <w:qFormat/>
    <w:rsid w:val="00DA346D"/>
    <w:pPr>
      <w:ind w:left="720"/>
      <w:contextualSpacing/>
    </w:pPr>
  </w:style>
  <w:style w:type="table" w:customStyle="1" w:styleId="TableGrid1">
    <w:name w:val="Table Grid1"/>
    <w:basedOn w:val="TableNormal"/>
    <w:next w:val="TableGrid"/>
    <w:uiPriority w:val="59"/>
    <w:rsid w:val="00994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94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DE5"/>
    <w:rPr>
      <w:rFonts w:ascii="Times New Roman" w:hAnsi="Times New Roman"/>
      <w:sz w:val="20"/>
      <w:szCs w:val="20"/>
    </w:rPr>
  </w:style>
  <w:style w:type="character" w:styleId="FootnoteReference">
    <w:name w:val="footnote reference"/>
    <w:basedOn w:val="DefaultParagraphFont"/>
    <w:uiPriority w:val="99"/>
    <w:semiHidden/>
    <w:unhideWhenUsed/>
    <w:rsid w:val="00994DE5"/>
    <w:rPr>
      <w:vertAlign w:val="superscript"/>
    </w:rPr>
  </w:style>
  <w:style w:type="paragraph" w:customStyle="1" w:styleId="Headline2">
    <w:name w:val="Headline 2"/>
    <w:basedOn w:val="Headline1"/>
    <w:autoRedefine/>
    <w:rsid w:val="00546777"/>
    <w:pPr>
      <w:keepNext w:val="0"/>
      <w:pageBreakBefore w:val="0"/>
      <w:numPr>
        <w:ilvl w:val="1"/>
      </w:numPr>
      <w:spacing w:before="360" w:after="240" w:line="320" w:lineRule="exact"/>
      <w:ind w:left="578" w:hanging="578"/>
    </w:pPr>
    <w:rPr>
      <w:rFonts w:ascii="Times New Roman" w:hAnsi="Times New Roman"/>
      <w:sz w:val="28"/>
      <w:lang w:val="en-GB"/>
    </w:rPr>
  </w:style>
  <w:style w:type="paragraph" w:customStyle="1" w:styleId="Headline3">
    <w:name w:val="Headline 3"/>
    <w:autoRedefine/>
    <w:rsid w:val="00546777"/>
    <w:pPr>
      <w:keepNext/>
      <w:numPr>
        <w:ilvl w:val="2"/>
        <w:numId w:val="15"/>
      </w:numPr>
      <w:suppressAutoHyphens/>
      <w:spacing w:before="440" w:after="120" w:line="280" w:lineRule="exact"/>
    </w:pPr>
    <w:rPr>
      <w:rFonts w:ascii="Times New Roman" w:eastAsia="Times New Roman" w:hAnsi="Times New Roman" w:cs="Times New Roman"/>
      <w:i/>
      <w:szCs w:val="20"/>
      <w:lang w:val="en-US" w:eastAsia="da-DK"/>
    </w:rPr>
  </w:style>
  <w:style w:type="paragraph" w:customStyle="1" w:styleId="Headline1">
    <w:name w:val="Headline 1"/>
    <w:basedOn w:val="Normal"/>
    <w:autoRedefine/>
    <w:rsid w:val="00546777"/>
    <w:pPr>
      <w:keepNext/>
      <w:pageBreakBefore/>
      <w:numPr>
        <w:numId w:val="15"/>
      </w:numPr>
      <w:tabs>
        <w:tab w:val="left" w:pos="680"/>
      </w:tabs>
      <w:suppressAutoHyphens/>
      <w:spacing w:after="1120" w:line="440" w:lineRule="exact"/>
      <w:ind w:left="431" w:hanging="431"/>
    </w:pPr>
    <w:rPr>
      <w:rFonts w:ascii="TimesNewRoman" w:eastAsia="Times New Roman" w:hAnsi="TimesNewRoman" w:cs="Times New Roman"/>
      <w:sz w:val="48"/>
      <w:szCs w:val="20"/>
      <w:lang w:val="de-DE" w:eastAsia="da-DK"/>
    </w:rPr>
  </w:style>
  <w:style w:type="paragraph" w:customStyle="1" w:styleId="Headline5">
    <w:name w:val="Headline5"/>
    <w:basedOn w:val="Normal"/>
    <w:autoRedefine/>
    <w:rsid w:val="00546777"/>
    <w:pPr>
      <w:spacing w:before="120" w:line="280" w:lineRule="exact"/>
      <w:ind w:right="62"/>
    </w:pPr>
    <w:rPr>
      <w:rFonts w:eastAsia="Times New Roman" w:cs="Times New Roman"/>
      <w:b/>
      <w:i/>
      <w:lang w:val="en-GB" w:eastAsia="da-DK"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n.i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Alta ehf</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Alta</cp:lastModifiedBy>
  <cp:revision>8</cp:revision>
  <cp:lastPrinted>2012-08-01T11:55:00Z</cp:lastPrinted>
  <dcterms:created xsi:type="dcterms:W3CDTF">2012-07-31T14:42:00Z</dcterms:created>
  <dcterms:modified xsi:type="dcterms:W3CDTF">2012-08-01T11:55:00Z</dcterms:modified>
</cp:coreProperties>
</file>