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:rsidTr="000A49FB">
        <w:trPr>
          <w:trHeight w:val="680"/>
        </w:trPr>
        <w:tc>
          <w:tcPr>
            <w:tcW w:w="6487" w:type="dxa"/>
            <w:vMerge w:val="restart"/>
            <w:vAlign w:val="center"/>
          </w:tcPr>
          <w:p w:rsidR="00F51B15" w:rsidRPr="000A49FB" w:rsidRDefault="00C50F18" w:rsidP="00C50F18">
            <w:pPr>
              <w:pStyle w:val="Titill"/>
            </w:pPr>
            <w:r w:rsidRPr="00C50F18">
              <w:t>Prentdufthylki</w:t>
            </w:r>
            <w:r w:rsidR="00F51B15" w:rsidRPr="000A49FB">
              <w:t xml:space="preserve"> - umhverfisskilyrði</w:t>
            </w:r>
          </w:p>
        </w:tc>
        <w:tc>
          <w:tcPr>
            <w:tcW w:w="1011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:rsidR="00F51B15" w:rsidRDefault="00F51B15" w:rsidP="00C50F18">
            <w:pPr>
              <w:jc w:val="right"/>
            </w:pPr>
            <w:r>
              <w:t>201</w:t>
            </w:r>
            <w:r w:rsidR="00C50F18">
              <w:t>2</w:t>
            </w:r>
            <w:r>
              <w:t>-</w:t>
            </w:r>
            <w:r w:rsidR="00C50F18">
              <w:t>08</w:t>
            </w:r>
            <w:r>
              <w:t>-</w:t>
            </w:r>
            <w:r w:rsidR="00C50F18">
              <w:t>30</w:t>
            </w:r>
          </w:p>
        </w:tc>
      </w:tr>
      <w:tr w:rsidR="00F51B15" w:rsidTr="000A49FB">
        <w:trPr>
          <w:trHeight w:val="680"/>
        </w:trPr>
        <w:tc>
          <w:tcPr>
            <w:tcW w:w="6487" w:type="dxa"/>
            <w:vMerge/>
            <w:vAlign w:val="center"/>
          </w:tcPr>
          <w:p w:rsidR="00F51B15" w:rsidRDefault="00F51B15"/>
        </w:tc>
        <w:tc>
          <w:tcPr>
            <w:tcW w:w="1011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:rsidR="00F51B15" w:rsidRDefault="000A49FB" w:rsidP="00C50F18">
            <w:pPr>
              <w:jc w:val="right"/>
            </w:pPr>
            <w:r>
              <w:t>1.</w:t>
            </w:r>
            <w:r w:rsidR="00C50F18">
              <w:t>1</w:t>
            </w:r>
          </w:p>
        </w:tc>
      </w:tr>
    </w:tbl>
    <w:p w:rsidR="003373AF" w:rsidRDefault="003373AF"/>
    <w:p w:rsidR="007566D8" w:rsidRPr="00F51B15" w:rsidRDefault="000A49FB" w:rsidP="00994DE5">
      <w:pPr>
        <w:pStyle w:val="Heading1"/>
        <w:numPr>
          <w:ilvl w:val="0"/>
          <w:numId w:val="0"/>
        </w:numPr>
        <w:ind w:left="431" w:hanging="431"/>
      </w:pPr>
      <w:r>
        <w:t>V</w:t>
      </w:r>
      <w:r w:rsidR="007566D8" w:rsidRPr="00F51B15">
        <w:t>iðfangsefni og gildissvið</w:t>
      </w:r>
    </w:p>
    <w:p w:rsidR="002A0F11" w:rsidRDefault="002A0F11" w:rsidP="002A0F11">
      <w:r>
        <w:t xml:space="preserve">Umhverfisskilyrðin eru sett fram á vegum verkefnisins Vistvæn innkaup sem er samstarfsverkefni ríkis og sveitarfélaga, sjá nánar á </w:t>
      </w:r>
      <w:hyperlink r:id="rId8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:rsidR="00C50F18" w:rsidRPr="008D7EB9" w:rsidRDefault="00C50F18" w:rsidP="00C50F18">
      <w:pPr>
        <w:keepLines/>
        <w:widowControl w:val="0"/>
        <w:autoSpaceDE w:val="0"/>
        <w:autoSpaceDN w:val="0"/>
        <w:adjustRightInd w:val="0"/>
        <w:spacing w:before="120"/>
      </w:pPr>
      <w:r w:rsidRPr="008D7EB9">
        <w:t xml:space="preserve">Viðmiðin eru byggð á viðmiðum </w:t>
      </w:r>
      <w:r>
        <w:t xml:space="preserve">norræna </w:t>
      </w:r>
      <w:r w:rsidRPr="008D7EB9">
        <w:t>umhverfismerk</w:t>
      </w:r>
      <w:r>
        <w:t>isins</w:t>
      </w:r>
      <w:r w:rsidRPr="008D7EB9">
        <w:t xml:space="preserve"> Svan</w:t>
      </w:r>
      <w:r>
        <w:t>urinn</w:t>
      </w:r>
      <w:r w:rsidRPr="008D7EB9">
        <w:t xml:space="preserve">. Sé vara vottuð  með </w:t>
      </w:r>
      <w:r>
        <w:t>Svaninum</w:t>
      </w:r>
      <w:r w:rsidRPr="008D7EB9">
        <w:t xml:space="preserve"> er það fullnægjandi sönnun á því að viðmiðin í þessu skjali séu uppfyllt.</w:t>
      </w:r>
    </w:p>
    <w:p w:rsidR="002A0F11" w:rsidRDefault="00C50F18" w:rsidP="00E7037A">
      <w:pPr>
        <w:jc w:val="center"/>
      </w:pPr>
      <w:r w:rsidRPr="008D7EB9">
        <w:rPr>
          <w:noProof/>
          <w:lang w:eastAsia="is-IS"/>
        </w:rPr>
        <w:drawing>
          <wp:inline distT="0" distB="0" distL="0" distR="0" wp14:anchorId="6E17F9BF" wp14:editId="28D511D2">
            <wp:extent cx="516690" cy="521611"/>
            <wp:effectExtent l="0" t="0" r="0" b="0"/>
            <wp:docPr id="4" name="Picture 1" descr="Svansmerki_RGB_enginn-texti_200x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nsmerki_RGB_enginn-texti_200x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74" cy="52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18" w:rsidRDefault="00C50F18" w:rsidP="00DA346D"/>
    <w:p w:rsidR="00DA346D" w:rsidRDefault="00DA346D" w:rsidP="00DA346D">
      <w:r>
        <w:t>Grunn- og ítarviðmiðin samanstanda af lágmarksskilyrðum og matsviðmiðum:</w:t>
      </w:r>
    </w:p>
    <w:p w:rsidR="00DA346D" w:rsidRDefault="00DA346D" w:rsidP="00DA346D">
      <w:r w:rsidRPr="000B4048"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2A0F11" w:rsidRPr="00DD1129" w:rsidRDefault="00DA346D" w:rsidP="00DA346D">
      <w:r w:rsidRPr="000B4048">
        <w:rPr>
          <w:b/>
        </w:rPr>
        <w:t>Matsviðmið</w:t>
      </w:r>
      <w:r>
        <w:t>;</w:t>
      </w:r>
      <w:r w:rsidRPr="00F55608">
        <w:t xml:space="preserve"> </w:t>
      </w:r>
      <w:r>
        <w:t>má nota</w:t>
      </w:r>
      <w:r w:rsidRPr="00DD1129">
        <w:t xml:space="preserve"> ef útboðsaðili vill veita tilboði aukastig sem stendur sig betur en lágmarksskilyrðin segja til um varðandi umhverfis-</w:t>
      </w:r>
      <w:r>
        <w:t xml:space="preserve"> </w:t>
      </w:r>
      <w:r w:rsidRPr="00DD1129">
        <w:t>og gæðaþætti. Í stigamatsgjöf geta matsviðmið fyrir umhverfisþætti veg</w:t>
      </w:r>
      <w:r>
        <w:t>ið 10 til 15% af heildareinkunn</w:t>
      </w:r>
      <w:r w:rsidRPr="00DD1129">
        <w:t>.</w:t>
      </w:r>
      <w:r w:rsidR="002A0F11">
        <w:t xml:space="preserve"> </w:t>
      </w:r>
    </w:p>
    <w:p w:rsidR="007566D8" w:rsidRDefault="007566D8" w:rsidP="002A0F11"/>
    <w:p w:rsidR="007D3928" w:rsidRDefault="007D3928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</w:p>
    <w:p w:rsidR="007566D8" w:rsidRPr="00F51B15" w:rsidRDefault="00F404FF" w:rsidP="007D3928">
      <w:pPr>
        <w:pStyle w:val="Heading1"/>
        <w:numPr>
          <w:ilvl w:val="0"/>
          <w:numId w:val="0"/>
        </w:numPr>
        <w:ind w:left="431" w:hanging="431"/>
      </w:pPr>
      <w:r>
        <w:t>Helstu umhverfisáhrif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9"/>
        <w:gridCol w:w="4419"/>
      </w:tblGrid>
      <w:tr w:rsidR="007D3928" w:rsidTr="00980979">
        <w:tc>
          <w:tcPr>
            <w:tcW w:w="7072" w:type="dxa"/>
          </w:tcPr>
          <w:p w:rsidR="007D3928" w:rsidRDefault="007D3928" w:rsidP="00980979">
            <w:pPr>
              <w:rPr>
                <w:b/>
              </w:rPr>
            </w:pPr>
            <w:r>
              <w:rPr>
                <w:b/>
              </w:rPr>
              <w:t>Helstu umhverfisáhrif</w:t>
            </w:r>
          </w:p>
        </w:tc>
        <w:tc>
          <w:tcPr>
            <w:tcW w:w="7072" w:type="dxa"/>
          </w:tcPr>
          <w:p w:rsidR="007D3928" w:rsidRDefault="00C50F18" w:rsidP="00980979">
            <w:pPr>
              <w:rPr>
                <w:b/>
              </w:rPr>
            </w:pPr>
            <w:r>
              <w:rPr>
                <w:b/>
              </w:rPr>
              <w:t xml:space="preserve">Nálgun </w:t>
            </w:r>
          </w:p>
        </w:tc>
      </w:tr>
      <w:tr w:rsidR="007D3928" w:rsidTr="00980979">
        <w:tc>
          <w:tcPr>
            <w:tcW w:w="7072" w:type="dxa"/>
          </w:tcPr>
          <w:p w:rsidR="00C50F18" w:rsidRPr="00C50F18" w:rsidRDefault="00C50F18" w:rsidP="00C50F18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t>Loftmengun, myndun ósons og skaðleg áhrif efna á vatnalífverur og gæði vatns</w:t>
            </w:r>
          </w:p>
          <w:p w:rsidR="00C50F18" w:rsidRDefault="00A90850" w:rsidP="00C50F18">
            <w:pPr>
              <w:pStyle w:val="ListParagraph"/>
              <w:numPr>
                <w:ilvl w:val="0"/>
                <w:numId w:val="17"/>
              </w:numPr>
            </w:pPr>
            <w:r w:rsidRPr="00F43E05">
              <w:rPr>
                <w:i/>
                <w:noProof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25B99" wp14:editId="7A80E3FB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289512</wp:posOffset>
                      </wp:positionV>
                      <wp:extent cx="425486" cy="336430"/>
                      <wp:effectExtent l="19050" t="19050" r="12700" b="45085"/>
                      <wp:wrapNone/>
                      <wp:docPr id="1" name="Notched 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5486" cy="33643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" o:spid="_x0000_s1026" type="#_x0000_t94" style="position:absolute;margin-left:223.25pt;margin-top:22.8pt;width:33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" adj="13060" fillcolor="#92d050" strokecolor="black [3213]" strokeweight=".25pt">
                      <v:path arrowok="t"/>
                    </v:shape>
                  </w:pict>
                </mc:Fallback>
              </mc:AlternateContent>
            </w:r>
            <w:r w:rsidR="00C50F18">
              <w:t>Neikvæð áhrif á vinnuumhverfi vegna vissra efna sem eru skilgreind hættuleg heilsu manna</w:t>
            </w:r>
          </w:p>
          <w:p w:rsidR="007D3928" w:rsidRPr="00C50F18" w:rsidRDefault="00C50F18" w:rsidP="00C50F18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i/>
                <w:szCs w:val="24"/>
              </w:rPr>
            </w:pPr>
            <w:r>
              <w:t>Úrgangsmyndun við framleiðslu, notkun og vegna umbúða</w:t>
            </w:r>
          </w:p>
        </w:tc>
        <w:tc>
          <w:tcPr>
            <w:tcW w:w="7072" w:type="dxa"/>
          </w:tcPr>
          <w:p w:rsidR="00C50F18" w:rsidRDefault="00C50F18" w:rsidP="00C50F18">
            <w:pPr>
              <w:pStyle w:val="ListParagraph"/>
              <w:numPr>
                <w:ilvl w:val="0"/>
                <w:numId w:val="17"/>
              </w:numPr>
            </w:pPr>
            <w:r>
              <w:t xml:space="preserve">Forðast óvistvænar vörur </w:t>
            </w:r>
          </w:p>
          <w:p w:rsidR="00C50F18" w:rsidRDefault="00C50F18" w:rsidP="00C50F18">
            <w:pPr>
              <w:pStyle w:val="ListParagraph"/>
              <w:numPr>
                <w:ilvl w:val="0"/>
                <w:numId w:val="17"/>
              </w:numPr>
            </w:pPr>
            <w:r>
              <w:t xml:space="preserve">Minnka efnanotkun með bættum verkferlum </w:t>
            </w:r>
          </w:p>
          <w:p w:rsidR="00C50F18" w:rsidRDefault="00C50F18" w:rsidP="00C50F18">
            <w:pPr>
              <w:pStyle w:val="ListParagraph"/>
              <w:numPr>
                <w:ilvl w:val="0"/>
                <w:numId w:val="17"/>
              </w:numPr>
            </w:pPr>
            <w:r>
              <w:t xml:space="preserve">Forðast viss skaðleg efni </w:t>
            </w:r>
          </w:p>
          <w:p w:rsidR="00C50F18" w:rsidRDefault="00C50F18" w:rsidP="00C50F18">
            <w:pPr>
              <w:pStyle w:val="ListParagraph"/>
              <w:numPr>
                <w:ilvl w:val="0"/>
                <w:numId w:val="17"/>
              </w:numPr>
            </w:pPr>
            <w:r>
              <w:t xml:space="preserve">Bæta þjálfun starfsfólks og viðhald vélbúnaðar </w:t>
            </w:r>
          </w:p>
          <w:p w:rsidR="007D3928" w:rsidRPr="00A90850" w:rsidRDefault="00C50F18" w:rsidP="00C50F18">
            <w:pPr>
              <w:pStyle w:val="ListParagraph"/>
              <w:numPr>
                <w:ilvl w:val="0"/>
                <w:numId w:val="17"/>
              </w:numPr>
            </w:pPr>
            <w:r>
              <w:t xml:space="preserve">Minnka notkun umbúða og auka endurnýtingu þeirra </w:t>
            </w:r>
          </w:p>
        </w:tc>
      </w:tr>
    </w:tbl>
    <w:p w:rsidR="00994DE5" w:rsidRDefault="00994DE5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F404FF" w:rsidRDefault="00C50F18" w:rsidP="00F404FF">
      <w:pPr>
        <w:pStyle w:val="Heading1"/>
      </w:pPr>
      <w:r>
        <w:lastRenderedPageBreak/>
        <w:t>Prentdufthylki</w:t>
      </w:r>
    </w:p>
    <w:tbl>
      <w:tblPr>
        <w:tblStyle w:val="TableGrid1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C50F18" w:rsidRPr="00994DE5" w:rsidTr="00C50F18">
        <w:tc>
          <w:tcPr>
            <w:tcW w:w="9039" w:type="dxa"/>
            <w:shd w:val="clear" w:color="auto" w:fill="FFFF00"/>
          </w:tcPr>
          <w:p w:rsidR="00C50F18" w:rsidRPr="00B17204" w:rsidRDefault="00C50F18" w:rsidP="00B17204">
            <w:pPr>
              <w:pStyle w:val="Titill"/>
            </w:pPr>
            <w:r w:rsidRPr="00B17204">
              <w:t>Grunnviðmið</w:t>
            </w:r>
          </w:p>
        </w:tc>
      </w:tr>
      <w:tr w:rsidR="00C50F18" w:rsidRPr="00994DE5" w:rsidTr="00C50F18">
        <w:tc>
          <w:tcPr>
            <w:tcW w:w="9039" w:type="dxa"/>
            <w:shd w:val="clear" w:color="auto" w:fill="92D050"/>
          </w:tcPr>
          <w:p w:rsidR="00C50F18" w:rsidRPr="00994DE5" w:rsidRDefault="00C50F18" w:rsidP="00994DE5">
            <w:pPr>
              <w:spacing w:line="276" w:lineRule="auto"/>
              <w:rPr>
                <w:b/>
              </w:rPr>
            </w:pPr>
            <w:r w:rsidRPr="00994DE5">
              <w:rPr>
                <w:b/>
              </w:rPr>
              <w:t>LÁGMARKSSKILYRÐI</w:t>
            </w:r>
          </w:p>
        </w:tc>
      </w:tr>
      <w:tr w:rsidR="00C50F18" w:rsidRPr="00994DE5" w:rsidTr="00C50F18">
        <w:tc>
          <w:tcPr>
            <w:tcW w:w="9039" w:type="dxa"/>
          </w:tcPr>
          <w:p w:rsidR="00C50F18" w:rsidRPr="00C50F18" w:rsidRDefault="00C50F18" w:rsidP="00C50F18">
            <w:pPr>
              <w:pStyle w:val="ListParagraph"/>
              <w:keepNext/>
              <w:keepLines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b/>
                <w:noProof/>
              </w:rPr>
            </w:pPr>
            <w:r w:rsidRPr="00C50F18">
              <w:rPr>
                <w:b/>
                <w:noProof/>
              </w:rPr>
              <w:t>Efni skaðleg umhverfinu</w:t>
            </w:r>
          </w:p>
          <w:p w:rsidR="00C50F18" w:rsidRPr="008D7EB9" w:rsidRDefault="00E7037A" w:rsidP="00C50F1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>
              <w:rPr>
                <w:noProof/>
              </w:rPr>
              <w:t>Duft í p</w:t>
            </w:r>
            <w:r w:rsidR="00C50F18" w:rsidRPr="008D7EB9">
              <w:rPr>
                <w:noProof/>
              </w:rPr>
              <w:t>rentdufthylk</w:t>
            </w:r>
            <w:r>
              <w:rPr>
                <w:noProof/>
              </w:rPr>
              <w:t>jum</w:t>
            </w:r>
            <w:r w:rsidR="00C50F18" w:rsidRPr="008D7EB9">
              <w:rPr>
                <w:noProof/>
              </w:rPr>
              <w:t xml:space="preserve"> sem flokkast sem hættulegt umhverfinu </w:t>
            </w:r>
            <w:r w:rsidR="00C50F18">
              <w:rPr>
                <w:noProof/>
              </w:rPr>
              <w:t xml:space="preserve">skal ekki </w:t>
            </w:r>
            <w:r w:rsidR="00C50F18" w:rsidRPr="008D7EB9">
              <w:rPr>
                <w:noProof/>
              </w:rPr>
              <w:t>nota. Þetta á við um duft með hættusetningum H50, H53, H59 og samtengdar hættusetningar H50/53, H51/53</w:t>
            </w:r>
            <w:r w:rsidR="00C50F18">
              <w:rPr>
                <w:noProof/>
              </w:rPr>
              <w:t>, H52/53</w:t>
            </w:r>
            <w:r w:rsidR="00C50F18" w:rsidRPr="008D7EB9">
              <w:rPr>
                <w:noProof/>
              </w:rPr>
              <w:t xml:space="preserve">.  </w:t>
            </w:r>
          </w:p>
          <w:p w:rsidR="00C50F18" w:rsidRPr="008D7EB9" w:rsidRDefault="00C50F18" w:rsidP="00C50F18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8D7EB9">
              <w:rPr>
                <w:noProof/>
              </w:rPr>
              <w:t xml:space="preserve">Þetta er í samræmi við núgildandi reglugerð um flokkun og merkingu </w:t>
            </w:r>
            <w:r>
              <w:rPr>
                <w:noProof/>
              </w:rPr>
              <w:t xml:space="preserve">efnanna </w:t>
            </w:r>
            <w:r w:rsidRPr="008D7EB9">
              <w:rPr>
                <w:noProof/>
              </w:rPr>
              <w:t>í Danmörku, Finnlandi, Íslandi, Noregi og Svíþjóð. Reglugerðin er byggð á ESB tilskipun 1999/45/EC ásamt síðari breytingum og endurskoðunum.</w:t>
            </w:r>
          </w:p>
          <w:p w:rsidR="00C50F18" w:rsidRPr="00B17204" w:rsidRDefault="00C50F18" w:rsidP="00A90850">
            <w:pPr>
              <w:spacing w:line="276" w:lineRule="auto"/>
              <w:rPr>
                <w:i/>
              </w:rPr>
            </w:pPr>
            <w:r w:rsidRPr="008D7EB9">
              <w:rPr>
                <w:b/>
                <w:noProof/>
              </w:rPr>
              <w:t>Staðfesting</w:t>
            </w:r>
            <w:r w:rsidRPr="008D7EB9">
              <w:rPr>
                <w:noProof/>
              </w:rPr>
              <w:t xml:space="preserve">: </w:t>
            </w:r>
            <w:r w:rsidRPr="008D7EB9">
              <w:t xml:space="preserve">Sé varan merkt með norræna Svaninum, er það fullnægjandi staðfesting á </w:t>
            </w:r>
            <w:r>
              <w:t xml:space="preserve">því </w:t>
            </w:r>
            <w:r w:rsidRPr="008D7EB9">
              <w:t xml:space="preserve">að umhverfisviðmið séu uppfyllt. Ef varan er ekki vottuð með einhverju ofangreindra merkja skal leggja fram yfirlýsingu (skv. tilskipun Evrópusambandsins 1991/155/ECC  ásamt breytingum) um að öll efni hafi CAS númer. Að auki skulu bjóðendur leggja fram upplýsingar um hvaða efni </w:t>
            </w:r>
            <w:r>
              <w:t xml:space="preserve">í boðinni vöru </w:t>
            </w:r>
            <w:r w:rsidRPr="008D7EB9">
              <w:t>eru flokkuð sem hættuleg umhverfinu.</w:t>
            </w:r>
          </w:p>
        </w:tc>
      </w:tr>
      <w:tr w:rsidR="00C50F18" w:rsidRPr="00994DE5" w:rsidTr="00C50F18">
        <w:tc>
          <w:tcPr>
            <w:tcW w:w="9039" w:type="dxa"/>
          </w:tcPr>
          <w:p w:rsidR="00C50F18" w:rsidRPr="00C50F18" w:rsidRDefault="00C50F18" w:rsidP="00C50F1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b/>
                <w:noProof/>
              </w:rPr>
            </w:pPr>
            <w:r w:rsidRPr="00C50F18">
              <w:rPr>
                <w:b/>
                <w:noProof/>
              </w:rPr>
              <w:t>Heilsuspillandi vörur</w:t>
            </w:r>
          </w:p>
          <w:p w:rsidR="00C50F18" w:rsidRPr="008D7EB9" w:rsidRDefault="00C50F18" w:rsidP="00C50F18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8D7EB9">
              <w:rPr>
                <w:noProof/>
              </w:rPr>
              <w:t>Prentdufthylki skal ekki innihalda efni eða leyfar af efnum sem eru skilgreind sem skaðleg heilsu manna með eftirfarandi hættusetningum:</w:t>
            </w:r>
          </w:p>
          <w:p w:rsidR="00C50F18" w:rsidRPr="008D7EB9" w:rsidRDefault="00C50F18" w:rsidP="00C50F18">
            <w:pPr>
              <w:pStyle w:val="ListParagraph"/>
              <w:numPr>
                <w:ilvl w:val="0"/>
                <w:numId w:val="19"/>
              </w:numPr>
              <w:spacing w:after="0"/>
              <w:rPr>
                <w:noProof/>
                <w:szCs w:val="24"/>
              </w:rPr>
            </w:pPr>
            <w:r w:rsidRPr="008D7EB9">
              <w:rPr>
                <w:noProof/>
                <w:szCs w:val="24"/>
              </w:rPr>
              <w:t>Krabbameinsvaldandi efni</w:t>
            </w:r>
            <w:r>
              <w:rPr>
                <w:noProof/>
                <w:szCs w:val="24"/>
              </w:rPr>
              <w:t>:</w:t>
            </w:r>
            <w:r w:rsidRPr="008D7EB9">
              <w:rPr>
                <w:noProof/>
                <w:szCs w:val="24"/>
              </w:rPr>
              <w:t xml:space="preserve"> H40, H45 eða H49</w:t>
            </w:r>
            <w:r>
              <w:rPr>
                <w:noProof/>
                <w:szCs w:val="24"/>
              </w:rPr>
              <w:t>.</w:t>
            </w:r>
          </w:p>
          <w:p w:rsidR="00C50F18" w:rsidRPr="008D7EB9" w:rsidRDefault="00C50F18" w:rsidP="00C50F18">
            <w:pPr>
              <w:pStyle w:val="ListParagraph"/>
              <w:numPr>
                <w:ilvl w:val="0"/>
                <w:numId w:val="19"/>
              </w:numPr>
              <w:spacing w:after="0"/>
              <w:rPr>
                <w:noProof/>
                <w:szCs w:val="24"/>
              </w:rPr>
            </w:pPr>
            <w:r w:rsidRPr="008D7EB9">
              <w:rPr>
                <w:noProof/>
                <w:szCs w:val="24"/>
              </w:rPr>
              <w:t>Efni sem hafa skaðleg áhrif á frjósemi og fóstur</w:t>
            </w:r>
            <w:r>
              <w:rPr>
                <w:noProof/>
                <w:szCs w:val="24"/>
              </w:rPr>
              <w:t>:</w:t>
            </w:r>
            <w:r w:rsidRPr="008D7EB9">
              <w:rPr>
                <w:noProof/>
                <w:szCs w:val="24"/>
              </w:rPr>
              <w:t xml:space="preserve"> H60, H61, H62 eða H63</w:t>
            </w:r>
            <w:r>
              <w:rPr>
                <w:noProof/>
                <w:szCs w:val="24"/>
              </w:rPr>
              <w:t>.</w:t>
            </w:r>
          </w:p>
          <w:p w:rsidR="00C50F18" w:rsidRPr="008D7EB9" w:rsidRDefault="00C50F18" w:rsidP="00C50F18">
            <w:pPr>
              <w:pStyle w:val="ListParagraph"/>
              <w:numPr>
                <w:ilvl w:val="0"/>
                <w:numId w:val="19"/>
              </w:numPr>
              <w:spacing w:after="0"/>
              <w:rPr>
                <w:noProof/>
                <w:szCs w:val="24"/>
              </w:rPr>
            </w:pPr>
            <w:r w:rsidRPr="008D7EB9">
              <w:rPr>
                <w:noProof/>
                <w:szCs w:val="24"/>
              </w:rPr>
              <w:t>Stökkbreytivaldandi efni</w:t>
            </w:r>
            <w:r>
              <w:rPr>
                <w:noProof/>
                <w:szCs w:val="24"/>
              </w:rPr>
              <w:t>:</w:t>
            </w:r>
            <w:r w:rsidRPr="008D7EB9">
              <w:rPr>
                <w:noProof/>
                <w:szCs w:val="24"/>
              </w:rPr>
              <w:t xml:space="preserve"> H4</w:t>
            </w:r>
            <w:r>
              <w:rPr>
                <w:noProof/>
                <w:szCs w:val="24"/>
              </w:rPr>
              <w:t>6</w:t>
            </w:r>
            <w:r w:rsidRPr="008D7EB9">
              <w:rPr>
                <w:noProof/>
                <w:szCs w:val="24"/>
              </w:rPr>
              <w:t>eða H</w:t>
            </w:r>
            <w:r>
              <w:rPr>
                <w:noProof/>
                <w:szCs w:val="24"/>
              </w:rPr>
              <w:t>6</w:t>
            </w:r>
            <w:r w:rsidRPr="008D7EB9">
              <w:rPr>
                <w:noProof/>
                <w:szCs w:val="24"/>
              </w:rPr>
              <w:t>8</w:t>
            </w:r>
            <w:r>
              <w:rPr>
                <w:noProof/>
                <w:szCs w:val="24"/>
              </w:rPr>
              <w:t>.</w:t>
            </w:r>
          </w:p>
          <w:p w:rsidR="00C50F18" w:rsidRPr="008D7EB9" w:rsidRDefault="00C50F18" w:rsidP="00C50F18">
            <w:pPr>
              <w:pStyle w:val="ListParagraph"/>
              <w:numPr>
                <w:ilvl w:val="0"/>
                <w:numId w:val="19"/>
              </w:numPr>
              <w:spacing w:after="0"/>
              <w:rPr>
                <w:noProof/>
                <w:szCs w:val="24"/>
              </w:rPr>
            </w:pPr>
            <w:r w:rsidRPr="008D7EB9">
              <w:rPr>
                <w:noProof/>
                <w:szCs w:val="24"/>
              </w:rPr>
              <w:t>Eiturefni</w:t>
            </w:r>
            <w:r>
              <w:rPr>
                <w:noProof/>
                <w:szCs w:val="24"/>
              </w:rPr>
              <w:t>:</w:t>
            </w:r>
            <w:r w:rsidRPr="008D7EB9">
              <w:rPr>
                <w:noProof/>
                <w:szCs w:val="24"/>
              </w:rPr>
              <w:t xml:space="preserve"> H23, H24, H25 eða H48</w:t>
            </w:r>
            <w:r>
              <w:rPr>
                <w:noProof/>
                <w:szCs w:val="24"/>
              </w:rPr>
              <w:t>.</w:t>
            </w:r>
          </w:p>
          <w:p w:rsidR="00C50F18" w:rsidRPr="008D7EB9" w:rsidRDefault="00C50F18" w:rsidP="00C50F18">
            <w:pPr>
              <w:pStyle w:val="ListParagraph"/>
              <w:numPr>
                <w:ilvl w:val="0"/>
                <w:numId w:val="19"/>
              </w:numPr>
              <w:spacing w:after="0"/>
              <w:rPr>
                <w:noProof/>
                <w:szCs w:val="24"/>
              </w:rPr>
            </w:pPr>
            <w:r w:rsidRPr="008D7EB9">
              <w:rPr>
                <w:noProof/>
                <w:szCs w:val="24"/>
              </w:rPr>
              <w:t>Mjög eitruð efni</w:t>
            </w:r>
            <w:r>
              <w:rPr>
                <w:noProof/>
                <w:szCs w:val="24"/>
              </w:rPr>
              <w:t>:</w:t>
            </w:r>
            <w:r w:rsidRPr="008D7EB9">
              <w:rPr>
                <w:noProof/>
                <w:szCs w:val="24"/>
              </w:rPr>
              <w:t xml:space="preserve"> H26, H27, H28 eða H39</w:t>
            </w:r>
            <w:r>
              <w:rPr>
                <w:noProof/>
                <w:szCs w:val="24"/>
              </w:rPr>
              <w:t>.</w:t>
            </w:r>
          </w:p>
          <w:p w:rsidR="00C50F18" w:rsidRPr="008D7EB9" w:rsidRDefault="00C50F18" w:rsidP="00C50F18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8D7EB9">
              <w:rPr>
                <w:noProof/>
              </w:rPr>
              <w:t xml:space="preserve">Þetta á einnig við um blöndu sem inniheldur þessi efni í samræmi við núgildandi reglugerð um flokkun og merkingu í Danmörku, Finnlandi, Íslandi, Noregi og Svíþjóð. Reglurnar eru byggðar á ESB tilskipun 1999/45/EC ásamt síðari breytingum og endurskoðunum. </w:t>
            </w:r>
          </w:p>
          <w:p w:rsidR="00C50F18" w:rsidRPr="00B17204" w:rsidRDefault="00C50F18" w:rsidP="00A90850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8D7EB9">
              <w:rPr>
                <w:b/>
                <w:noProof/>
              </w:rPr>
              <w:t>Staðfesting</w:t>
            </w:r>
            <w:r w:rsidRPr="008D7EB9">
              <w:rPr>
                <w:noProof/>
              </w:rPr>
              <w:t xml:space="preserve">: </w:t>
            </w:r>
            <w:r w:rsidRPr="008D7EB9">
              <w:t>Sé varan merkt með norræna Svaninum er það fullnægjandi staðfesting á að umhverfisviðmið séu uppfyllt. Öll önnur viðurkennd sönnunargögn</w:t>
            </w:r>
            <w:r>
              <w:t xml:space="preserve"> </w:t>
            </w:r>
            <w:r w:rsidRPr="008D7EB9">
              <w:t xml:space="preserve">eru tekin gild, </w:t>
            </w:r>
            <w:r>
              <w:t xml:space="preserve"> svo sem</w:t>
            </w:r>
            <w:r w:rsidRPr="008D7EB9">
              <w:t xml:space="preserve"> öryggisblöð þar sem hættusetningar eru tilgreindar.</w:t>
            </w:r>
          </w:p>
        </w:tc>
      </w:tr>
      <w:tr w:rsidR="00C50F18" w:rsidRPr="00994DE5" w:rsidTr="00C50F18">
        <w:tc>
          <w:tcPr>
            <w:tcW w:w="9039" w:type="dxa"/>
          </w:tcPr>
          <w:p w:rsidR="00C50F18" w:rsidRPr="00C50F18" w:rsidRDefault="00C50F18" w:rsidP="00C50F1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b/>
                <w:noProof/>
              </w:rPr>
            </w:pPr>
            <w:r w:rsidRPr="00C50F18">
              <w:rPr>
                <w:b/>
                <w:noProof/>
              </w:rPr>
              <w:t>Þungmálmar</w:t>
            </w:r>
          </w:p>
          <w:p w:rsidR="00C50F18" w:rsidRPr="008D7EB9" w:rsidRDefault="00C50F18" w:rsidP="00C50F18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 w:rsidRPr="008D7EB9">
              <w:rPr>
                <w:noProof/>
              </w:rPr>
              <w:t xml:space="preserve">Styrkur þungmálmanna; blýs, kadmiums, kvikasilfurs og króms </w:t>
            </w:r>
            <w:r>
              <w:rPr>
                <w:noProof/>
              </w:rPr>
              <w:t xml:space="preserve">(með oxunarnúmer 6) </w:t>
            </w:r>
            <w:r w:rsidRPr="008D7EB9">
              <w:rPr>
                <w:noProof/>
              </w:rPr>
              <w:t xml:space="preserve">skal samanlagt ekki fara yfir 100ppm. </w:t>
            </w:r>
          </w:p>
          <w:p w:rsidR="00C50F18" w:rsidRPr="00334281" w:rsidRDefault="00C50F18" w:rsidP="00A9085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noProof/>
              </w:rPr>
            </w:pPr>
            <w:r w:rsidRPr="00334281">
              <w:rPr>
                <w:b/>
                <w:noProof/>
              </w:rPr>
              <w:t>Staðfesting</w:t>
            </w:r>
            <w:r w:rsidRPr="008D7EB9">
              <w:rPr>
                <w:noProof/>
              </w:rPr>
              <w:t xml:space="preserve">: </w:t>
            </w:r>
            <w:r w:rsidRPr="008D7EB9">
              <w:t xml:space="preserve">Sé varan merkt með norræna Svaninum er það fullnægjandi staðfesting á að umhverfisviðmið séu uppfyllt. Öll önnur viðurkennd sönnunargögn eru tekin gild, </w:t>
            </w:r>
            <w:r>
              <w:t>svo sem</w:t>
            </w:r>
            <w:r w:rsidRPr="008D7EB9">
              <w:t xml:space="preserve"> öryggisblöð fyrir öll efni sem eru notuð þar sem magn þungmálma er tilgreint.</w:t>
            </w:r>
          </w:p>
        </w:tc>
      </w:tr>
      <w:tr w:rsidR="00C50F18" w:rsidRPr="00994DE5" w:rsidTr="00C50F18">
        <w:tc>
          <w:tcPr>
            <w:tcW w:w="9039" w:type="dxa"/>
          </w:tcPr>
          <w:p w:rsidR="00C50F18" w:rsidRPr="00C50F18" w:rsidRDefault="00C50F18" w:rsidP="00C50F1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b/>
                <w:noProof/>
              </w:rPr>
            </w:pPr>
            <w:r w:rsidRPr="00C50F18">
              <w:rPr>
                <w:b/>
                <w:noProof/>
              </w:rPr>
              <w:t>Efnaleifar arómatískra efna</w:t>
            </w:r>
          </w:p>
          <w:p w:rsidR="00C50F18" w:rsidRPr="008D7EB9" w:rsidRDefault="00C50F18" w:rsidP="00C50F18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</w:rPr>
            </w:pPr>
            <w:r>
              <w:rPr>
                <w:noProof/>
              </w:rPr>
              <w:t>Í prentduftinu</w:t>
            </w:r>
            <w:r w:rsidRPr="008D7EB9">
              <w:rPr>
                <w:noProof/>
              </w:rPr>
              <w:t xml:space="preserve"> skal styrkur ósúlfóneraðra arómatískra amína uppleyst í 1M saltsýru og sett </w:t>
            </w:r>
            <w:r w:rsidRPr="008D7EB9">
              <w:rPr>
                <w:noProof/>
              </w:rPr>
              <w:lastRenderedPageBreak/>
              <w:t>fram sem anilín ekki fara yfir 500 mg/kg og það mega ekki vera meira en 10 mg/kg bensidín, β-naphthylamín og 4-amínobiphenyl.</w:t>
            </w:r>
          </w:p>
          <w:p w:rsidR="00C50F18" w:rsidRPr="00C50F18" w:rsidRDefault="00C50F18" w:rsidP="00A90850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noProof/>
              </w:rPr>
            </w:pPr>
            <w:r w:rsidRPr="00C50F18">
              <w:rPr>
                <w:b/>
                <w:noProof/>
              </w:rPr>
              <w:t>Staðfesting</w:t>
            </w:r>
            <w:r w:rsidRPr="008D7EB9">
              <w:rPr>
                <w:noProof/>
              </w:rPr>
              <w:t xml:space="preserve">: </w:t>
            </w:r>
            <w:r w:rsidRPr="008D7EB9">
              <w:t xml:space="preserve">Sé varan merkt með norræna Svaninum er það fullnægjandi staðfesting á að umhverfisviðmið séu uppfyllt. Öll önnur sönnunargögn eru tekin gild, </w:t>
            </w:r>
            <w:r>
              <w:t>svo sem</w:t>
            </w:r>
            <w:r w:rsidRPr="008D7EB9">
              <w:t xml:space="preserve"> niðurstöður samkvæmt p</w:t>
            </w:r>
            <w:r w:rsidRPr="008D7EB9">
              <w:rPr>
                <w:noProof/>
              </w:rPr>
              <w:t>rófunaraðferðum í samræmi við ályktun AP (89) 1 leiðtogaráðs ESB.</w:t>
            </w:r>
          </w:p>
        </w:tc>
      </w:tr>
      <w:tr w:rsidR="00C50F18" w:rsidRPr="00994DE5" w:rsidTr="00C50F18">
        <w:tc>
          <w:tcPr>
            <w:tcW w:w="9039" w:type="dxa"/>
            <w:vAlign w:val="center"/>
          </w:tcPr>
          <w:p w:rsidR="00C50F18" w:rsidRPr="00C50F18" w:rsidRDefault="00C50F18" w:rsidP="00C50F18">
            <w:pPr>
              <w:pStyle w:val="ListParagraph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C50F18">
              <w:rPr>
                <w:b/>
              </w:rPr>
              <w:lastRenderedPageBreak/>
              <w:t>Umbúðir</w:t>
            </w:r>
          </w:p>
          <w:p w:rsidR="00C50F18" w:rsidRPr="008D7EB9" w:rsidRDefault="00C50F18" w:rsidP="00C50F18">
            <w:pPr>
              <w:rPr>
                <w:lang w:eastAsia="da-DK" w:bidi="hi-IN"/>
              </w:rPr>
            </w:pPr>
            <w:r w:rsidRPr="008D7EB9">
              <w:rPr>
                <w:lang w:eastAsia="da-DK" w:bidi="hi-IN"/>
              </w:rPr>
              <w:t xml:space="preserve">Ef vara er afhent í umbúðum úr plasti skulu umbúðir </w:t>
            </w:r>
            <w:proofErr w:type="spellStart"/>
            <w:r w:rsidR="00C81DF7">
              <w:rPr>
                <w:lang w:eastAsia="da-DK" w:bidi="hi-IN"/>
              </w:rPr>
              <w:t>nar</w:t>
            </w:r>
            <w:proofErr w:type="spellEnd"/>
            <w:r w:rsidR="00C81DF7">
              <w:rPr>
                <w:lang w:eastAsia="da-DK" w:bidi="hi-IN"/>
              </w:rPr>
              <w:t xml:space="preserve"> </w:t>
            </w:r>
            <w:r w:rsidRPr="008D7EB9">
              <w:rPr>
                <w:lang w:eastAsia="da-DK" w:bidi="hi-IN"/>
              </w:rPr>
              <w:t xml:space="preserve">ekki innihalda </w:t>
            </w:r>
            <w:proofErr w:type="spellStart"/>
            <w:r w:rsidRPr="008D7EB9">
              <w:rPr>
                <w:lang w:eastAsia="da-DK" w:bidi="hi-IN"/>
              </w:rPr>
              <w:t>pólývínýlklóríð</w:t>
            </w:r>
            <w:proofErr w:type="spellEnd"/>
            <w:r w:rsidRPr="008D7EB9">
              <w:rPr>
                <w:lang w:eastAsia="da-DK" w:bidi="hi-IN"/>
              </w:rPr>
              <w:t xml:space="preserve"> </w:t>
            </w:r>
            <w:r>
              <w:rPr>
                <w:lang w:eastAsia="da-DK" w:bidi="hi-IN"/>
              </w:rPr>
              <w:t>(</w:t>
            </w:r>
            <w:r w:rsidRPr="008D7EB9">
              <w:t>PVC</w:t>
            </w:r>
            <w:r>
              <w:t>)</w:t>
            </w:r>
            <w:r w:rsidRPr="008D7EB9">
              <w:t xml:space="preserve"> </w:t>
            </w:r>
            <w:r w:rsidRPr="008D7EB9">
              <w:rPr>
                <w:lang w:eastAsia="da-DK" w:bidi="hi-IN"/>
              </w:rPr>
              <w:t>eða plastefni úr öðrum tegundum klóraðra efna.</w:t>
            </w:r>
          </w:p>
          <w:p w:rsidR="00C50F18" w:rsidRPr="008D7EB9" w:rsidRDefault="00C50F18" w:rsidP="00C50F18">
            <w:r w:rsidRPr="008D7EB9">
              <w:rPr>
                <w:b/>
                <w:lang w:eastAsia="da-DK" w:bidi="hi-IN"/>
              </w:rPr>
              <w:t xml:space="preserve">Staðfesting: </w:t>
            </w:r>
            <w:r w:rsidRPr="008D7EB9">
              <w:rPr>
                <w:lang w:eastAsia="da-DK" w:bidi="hi-IN"/>
              </w:rPr>
              <w:t xml:space="preserve">Viðmið er uppfyllt </w:t>
            </w:r>
            <w:r>
              <w:rPr>
                <w:lang w:eastAsia="da-DK" w:bidi="hi-IN"/>
              </w:rPr>
              <w:t>ef</w:t>
            </w:r>
            <w:r w:rsidRPr="008D7EB9">
              <w:rPr>
                <w:lang w:eastAsia="da-DK" w:bidi="hi-IN"/>
              </w:rPr>
              <w:t xml:space="preserve"> birgi leggur fram undirritaða yfirlýsingu þar að lútandi. Gert er ráð fyrir að kaupandi sannreyni hvort viðmið sé uppfyllt á samningstímabilinu og hann beiti viðeigandi viðurlögum ef viðmiðin eru ekki uppfyllt.</w:t>
            </w:r>
          </w:p>
        </w:tc>
      </w:tr>
      <w:tr w:rsidR="00C50F18" w:rsidRPr="00994DE5" w:rsidTr="00C50F18">
        <w:tc>
          <w:tcPr>
            <w:tcW w:w="9039" w:type="dxa"/>
            <w:shd w:val="clear" w:color="auto" w:fill="92D050"/>
            <w:vAlign w:val="center"/>
          </w:tcPr>
          <w:p w:rsidR="00C50F18" w:rsidRPr="0032170F" w:rsidRDefault="00C50F18" w:rsidP="00C50F18">
            <w:pPr>
              <w:pStyle w:val="Headline4"/>
            </w:pPr>
            <w:r w:rsidRPr="0032170F">
              <w:t>Matsviðmið</w:t>
            </w:r>
          </w:p>
        </w:tc>
      </w:tr>
      <w:tr w:rsidR="00C50F18" w:rsidRPr="00994DE5" w:rsidTr="00872E19">
        <w:trPr>
          <w:trHeight w:val="1184"/>
        </w:trPr>
        <w:tc>
          <w:tcPr>
            <w:tcW w:w="9039" w:type="dxa"/>
          </w:tcPr>
          <w:p w:rsidR="00872E19" w:rsidRPr="00872E19" w:rsidRDefault="00872E19" w:rsidP="00872E19">
            <w:pPr>
              <w:pStyle w:val="ListParagraph"/>
              <w:numPr>
                <w:ilvl w:val="0"/>
                <w:numId w:val="24"/>
              </w:numPr>
              <w:rPr>
                <w:b/>
                <w:i/>
              </w:rPr>
            </w:pPr>
            <w:r w:rsidRPr="00872E19">
              <w:rPr>
                <w:b/>
              </w:rPr>
              <w:t>Umhverfismerki</w:t>
            </w:r>
          </w:p>
          <w:p w:rsidR="00C50F18" w:rsidRPr="00872E19" w:rsidRDefault="00C50F18" w:rsidP="00872E19">
            <w:pPr>
              <w:rPr>
                <w:i/>
              </w:rPr>
            </w:pPr>
            <w:r w:rsidRPr="0032170F">
              <w:t xml:space="preserve">Varan </w:t>
            </w:r>
            <w:r w:rsidR="00C81DF7">
              <w:t>skal</w:t>
            </w:r>
            <w:r w:rsidRPr="0032170F">
              <w:t xml:space="preserve"> uppfylla skilyrði viðurkennds umhverfismerkis (Tegund 1), svo sem norræna Svansins</w:t>
            </w:r>
            <w:r>
              <w:t xml:space="preserve">. </w:t>
            </w:r>
            <w:r w:rsidRPr="0032170F">
              <w:t xml:space="preserve"> Sé þessu skilyrði uppfyllt fær bjóðandi fullt hús stiga fyrir matsviðmið og þarf ekki að gera frekari grein fyrir öðrum matsviðmiðum.</w:t>
            </w:r>
          </w:p>
        </w:tc>
      </w:tr>
      <w:tr w:rsidR="00C50F18" w:rsidRPr="00994DE5" w:rsidTr="00C50F18">
        <w:trPr>
          <w:trHeight w:val="850"/>
        </w:trPr>
        <w:tc>
          <w:tcPr>
            <w:tcW w:w="9039" w:type="dxa"/>
          </w:tcPr>
          <w:p w:rsidR="00872E19" w:rsidRPr="00872E19" w:rsidRDefault="00872E19" w:rsidP="00872E19">
            <w:pPr>
              <w:pStyle w:val="Bulletpoints"/>
            </w:pPr>
            <w:r>
              <w:t>Prenthylki</w:t>
            </w:r>
          </w:p>
          <w:p w:rsidR="00C50F18" w:rsidRPr="00872E19" w:rsidRDefault="00872E19" w:rsidP="00872E19">
            <w:pPr>
              <w:pStyle w:val="Bulletpoints"/>
              <w:numPr>
                <w:ilvl w:val="0"/>
                <w:numId w:val="0"/>
              </w:numPr>
              <w:rPr>
                <w:b w:val="0"/>
              </w:rPr>
            </w:pPr>
            <w:r w:rsidRPr="00872E19">
              <w:rPr>
                <w:b w:val="0"/>
              </w:rPr>
              <w:t>S</w:t>
            </w:r>
            <w:r w:rsidR="00C81DF7" w:rsidRPr="00872E19">
              <w:rPr>
                <w:b w:val="0"/>
              </w:rPr>
              <w:t xml:space="preserve">tig fást ef </w:t>
            </w:r>
            <w:r w:rsidR="00C50F18" w:rsidRPr="00872E19">
              <w:rPr>
                <w:b w:val="0"/>
              </w:rPr>
              <w:t>varan uppfyllir eftirfarandi viðmið:</w:t>
            </w:r>
          </w:p>
          <w:p w:rsidR="00C50F18" w:rsidRPr="00872E19" w:rsidRDefault="00C50F18" w:rsidP="00872E19">
            <w:pPr>
              <w:pStyle w:val="Bulletpoints"/>
              <w:rPr>
                <w:b w:val="0"/>
              </w:rPr>
            </w:pPr>
            <w:r w:rsidRPr="00872E19">
              <w:rPr>
                <w:b w:val="0"/>
              </w:rPr>
              <w:t>Varahlutir innihalda ekki klórað plastefni.</w:t>
            </w:r>
          </w:p>
          <w:p w:rsidR="00C50F18" w:rsidRPr="00872E19" w:rsidRDefault="00C50F18" w:rsidP="00872E19">
            <w:pPr>
              <w:pStyle w:val="Bulletpoints"/>
              <w:rPr>
                <w:b w:val="0"/>
              </w:rPr>
            </w:pPr>
            <w:r w:rsidRPr="00872E19">
              <w:rPr>
                <w:b w:val="0"/>
              </w:rPr>
              <w:t>Prenthylki eru samsett úr að minnsta kosti 75% endurunnum efnum (mælt eftir þyngd að prentduftinu undanskildu).</w:t>
            </w:r>
          </w:p>
          <w:p w:rsidR="00C50F18" w:rsidRPr="00872E19" w:rsidRDefault="00C50F18" w:rsidP="00872E19">
            <w:pPr>
              <w:pStyle w:val="Bulletpoints"/>
              <w:rPr>
                <w:b w:val="0"/>
              </w:rPr>
            </w:pPr>
            <w:r w:rsidRPr="00872E19">
              <w:rPr>
                <w:b w:val="0"/>
              </w:rPr>
              <w:t>Bjóðandinn er með endurviðtökukerfi á prenthylkjum, sem tryggir rétta meðhöndlun spilliefna</w:t>
            </w:r>
          </w:p>
          <w:p w:rsidR="00C50F18" w:rsidRPr="00C50F18" w:rsidRDefault="00C50F18" w:rsidP="00872E19">
            <w:pPr>
              <w:pStyle w:val="Bulletpoints"/>
              <w:numPr>
                <w:ilvl w:val="0"/>
                <w:numId w:val="0"/>
              </w:numPr>
            </w:pPr>
            <w:bookmarkStart w:id="0" w:name="_GoBack"/>
            <w:r w:rsidRPr="000E5DE3">
              <w:t>Staðfesting</w:t>
            </w:r>
            <w:bookmarkEnd w:id="0"/>
            <w:r w:rsidRPr="00872E19">
              <w:rPr>
                <w:b w:val="0"/>
              </w:rPr>
              <w:t xml:space="preserve">: Sé varan merkt með norræna Svaninum, er það fullnægjandi staðfesting á að umhverfisviðmið séu uppfyllt. Öll önnur viðeigandi sönnunargögn eru einnig samþykkt svo sem  prófunar- og tækniskýrslur frá viðurkenndum aðilum sem staðfesta að </w:t>
            </w:r>
            <w:r w:rsidR="00334281" w:rsidRPr="00872E19">
              <w:rPr>
                <w:b w:val="0"/>
              </w:rPr>
              <w:t>viðmiðin hafi verið uppfyllt.</w:t>
            </w:r>
          </w:p>
        </w:tc>
      </w:tr>
    </w:tbl>
    <w:p w:rsidR="00AD29A1" w:rsidRPr="00AD29A1" w:rsidRDefault="00AD29A1" w:rsidP="00AD29A1"/>
    <w:sectPr w:rsidR="00AD29A1" w:rsidRPr="00AD2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18" w:rsidRDefault="00C50F18" w:rsidP="00F51B15">
      <w:pPr>
        <w:spacing w:after="0" w:line="240" w:lineRule="auto"/>
      </w:pPr>
      <w:r>
        <w:separator/>
      </w:r>
    </w:p>
  </w:endnote>
  <w:endnote w:type="continuationSeparator" w:id="0">
    <w:p w:rsidR="00C50F18" w:rsidRDefault="00C50F18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8" w:rsidRDefault="00C50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8" w:rsidRPr="00F51B15" w:rsidRDefault="00C50F18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3029A0">
      <w:rPr>
        <w:noProof/>
        <w:sz w:val="22"/>
      </w:rPr>
      <w:t>3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3029A0">
      <w:rPr>
        <w:noProof/>
        <w:sz w:val="22"/>
      </w:rPr>
      <w:t>3</w:t>
    </w:r>
    <w:r w:rsidRPr="00F51B1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8" w:rsidRDefault="00C50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18" w:rsidRDefault="00C50F18" w:rsidP="00F51B15">
      <w:pPr>
        <w:spacing w:after="0" w:line="240" w:lineRule="auto"/>
      </w:pPr>
      <w:r>
        <w:separator/>
      </w:r>
    </w:p>
  </w:footnote>
  <w:footnote w:type="continuationSeparator" w:id="0">
    <w:p w:rsidR="00C50F18" w:rsidRDefault="00C50F18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8" w:rsidRDefault="00C50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8" w:rsidRDefault="00C50F18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3143FFA6" wp14:editId="18B341DF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0F18" w:rsidRPr="000A49FB" w:rsidRDefault="00C50F18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18" w:rsidRDefault="00C50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E9A"/>
    <w:multiLevelType w:val="hybridMultilevel"/>
    <w:tmpl w:val="2E8878DA"/>
    <w:lvl w:ilvl="0" w:tplc="15D86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F2B"/>
    <w:multiLevelType w:val="multilevel"/>
    <w:tmpl w:val="093451B8"/>
    <w:lvl w:ilvl="0">
      <w:start w:val="1"/>
      <w:numFmt w:val="bullet"/>
      <w:lvlText w:val=""/>
      <w:lvlJc w:val="left"/>
      <w:pPr>
        <w:tabs>
          <w:tab w:val="num" w:pos="780"/>
        </w:tabs>
        <w:ind w:left="70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11"/>
        </w:tabs>
        <w:ind w:left="158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7"/>
        </w:tabs>
        <w:ind w:left="1984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37" w:hanging="357"/>
      </w:pPr>
      <w:rPr>
        <w:rFonts w:hint="default"/>
      </w:rPr>
    </w:lvl>
  </w:abstractNum>
  <w:abstractNum w:abstractNumId="2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D2182"/>
    <w:multiLevelType w:val="hybridMultilevel"/>
    <w:tmpl w:val="D5E8AEE2"/>
    <w:lvl w:ilvl="0" w:tplc="BF70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77D72"/>
    <w:multiLevelType w:val="hybridMultilevel"/>
    <w:tmpl w:val="D16478BC"/>
    <w:lvl w:ilvl="0" w:tplc="C91A5E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2B0B"/>
    <w:multiLevelType w:val="hybridMultilevel"/>
    <w:tmpl w:val="5E567D02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375A3"/>
    <w:multiLevelType w:val="hybridMultilevel"/>
    <w:tmpl w:val="9370944A"/>
    <w:lvl w:ilvl="0" w:tplc="9A40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115"/>
    <w:multiLevelType w:val="hybridMultilevel"/>
    <w:tmpl w:val="EF94A8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D5EB0"/>
    <w:multiLevelType w:val="hybridMultilevel"/>
    <w:tmpl w:val="8C90D472"/>
    <w:lvl w:ilvl="0" w:tplc="15D869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15776"/>
    <w:multiLevelType w:val="hybridMultilevel"/>
    <w:tmpl w:val="18BE786A"/>
    <w:lvl w:ilvl="0" w:tplc="796C95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1387B"/>
    <w:multiLevelType w:val="hybridMultilevel"/>
    <w:tmpl w:val="68725138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984281"/>
    <w:multiLevelType w:val="hybridMultilevel"/>
    <w:tmpl w:val="9370944A"/>
    <w:lvl w:ilvl="0" w:tplc="9A401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95BE0"/>
    <w:multiLevelType w:val="hybridMultilevel"/>
    <w:tmpl w:val="BB88FB40"/>
    <w:lvl w:ilvl="0" w:tplc="50CAABE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11C"/>
    <w:multiLevelType w:val="hybridMultilevel"/>
    <w:tmpl w:val="F27C3D6A"/>
    <w:lvl w:ilvl="0" w:tplc="87F662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269"/>
    <w:multiLevelType w:val="hybridMultilevel"/>
    <w:tmpl w:val="D5E8AEE2"/>
    <w:lvl w:ilvl="0" w:tplc="BF70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06B1D"/>
    <w:multiLevelType w:val="multilevel"/>
    <w:tmpl w:val="BEEE575E"/>
    <w:lvl w:ilvl="0">
      <w:start w:val="1"/>
      <w:numFmt w:val="decimal"/>
      <w:pStyle w:val="Headlin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52"/>
        <w:lang w:val="en-GB"/>
      </w:rPr>
    </w:lvl>
    <w:lvl w:ilvl="1">
      <w:start w:val="1"/>
      <w:numFmt w:val="decimal"/>
      <w:pStyle w:val="Headline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32"/>
      </w:rPr>
    </w:lvl>
    <w:lvl w:ilvl="2">
      <w:start w:val="1"/>
      <w:numFmt w:val="decimal"/>
      <w:pStyle w:val="Headline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716AE1"/>
    <w:multiLevelType w:val="hybridMultilevel"/>
    <w:tmpl w:val="D5E8AEE2"/>
    <w:lvl w:ilvl="0" w:tplc="BF70E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66571"/>
    <w:multiLevelType w:val="hybridMultilevel"/>
    <w:tmpl w:val="7D86184E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8157F"/>
    <w:multiLevelType w:val="hybridMultilevel"/>
    <w:tmpl w:val="715EB142"/>
    <w:lvl w:ilvl="0" w:tplc="C9845476">
      <w:start w:val="1"/>
      <w:numFmt w:val="decimal"/>
      <w:pStyle w:val="Bulletpoints"/>
      <w:lvlText w:val="%1."/>
      <w:lvlJc w:val="left"/>
      <w:pPr>
        <w:ind w:left="72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42DC3"/>
    <w:multiLevelType w:val="hybridMultilevel"/>
    <w:tmpl w:val="038A07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13DCF"/>
    <w:multiLevelType w:val="hybridMultilevel"/>
    <w:tmpl w:val="F990BDB8"/>
    <w:lvl w:ilvl="0" w:tplc="9826642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592F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68316E73"/>
    <w:multiLevelType w:val="hybridMultilevel"/>
    <w:tmpl w:val="7D86184E"/>
    <w:lvl w:ilvl="0" w:tplc="989C1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C10E7"/>
    <w:multiLevelType w:val="hybridMultilevel"/>
    <w:tmpl w:val="725218D2"/>
    <w:lvl w:ilvl="0" w:tplc="7062F27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5"/>
  </w:num>
  <w:num w:numId="5">
    <w:abstractNumId w:val="10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17"/>
  </w:num>
  <w:num w:numId="11">
    <w:abstractNumId w:val="12"/>
  </w:num>
  <w:num w:numId="12">
    <w:abstractNumId w:val="20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7"/>
  </w:num>
  <w:num w:numId="18">
    <w:abstractNumId w:val="16"/>
  </w:num>
  <w:num w:numId="19">
    <w:abstractNumId w:val="8"/>
  </w:num>
  <w:num w:numId="20">
    <w:abstractNumId w:val="9"/>
  </w:num>
  <w:num w:numId="21">
    <w:abstractNumId w:val="14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A49FB"/>
    <w:rsid w:val="000E5DE3"/>
    <w:rsid w:val="002A0F11"/>
    <w:rsid w:val="002F57F8"/>
    <w:rsid w:val="003029A0"/>
    <w:rsid w:val="00334281"/>
    <w:rsid w:val="003373AF"/>
    <w:rsid w:val="007566D8"/>
    <w:rsid w:val="007D3928"/>
    <w:rsid w:val="00872E19"/>
    <w:rsid w:val="00957923"/>
    <w:rsid w:val="00980979"/>
    <w:rsid w:val="00994DE5"/>
    <w:rsid w:val="00A90850"/>
    <w:rsid w:val="00AC62B2"/>
    <w:rsid w:val="00AD29A1"/>
    <w:rsid w:val="00B17204"/>
    <w:rsid w:val="00BA286C"/>
    <w:rsid w:val="00C50F18"/>
    <w:rsid w:val="00C81DF7"/>
    <w:rsid w:val="00DA346D"/>
    <w:rsid w:val="00E7037A"/>
    <w:rsid w:val="00E915C9"/>
    <w:rsid w:val="00EC572F"/>
    <w:rsid w:val="00F404FF"/>
    <w:rsid w:val="00F43E05"/>
    <w:rsid w:val="00F5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paragraph" w:customStyle="1" w:styleId="Headline2">
    <w:name w:val="Headline 2"/>
    <w:basedOn w:val="Headline1"/>
    <w:autoRedefine/>
    <w:rsid w:val="00C50F18"/>
    <w:pPr>
      <w:keepNext w:val="0"/>
      <w:pageBreakBefore w:val="0"/>
      <w:numPr>
        <w:ilvl w:val="1"/>
      </w:numPr>
      <w:spacing w:before="360" w:after="240" w:line="320" w:lineRule="exact"/>
      <w:ind w:left="578" w:hanging="578"/>
    </w:pPr>
    <w:rPr>
      <w:rFonts w:ascii="Times New Roman" w:hAnsi="Times New Roman"/>
      <w:sz w:val="28"/>
      <w:lang w:val="en-GB"/>
    </w:rPr>
  </w:style>
  <w:style w:type="paragraph" w:customStyle="1" w:styleId="Headline3">
    <w:name w:val="Headline 3"/>
    <w:autoRedefine/>
    <w:rsid w:val="00C50F18"/>
    <w:pPr>
      <w:keepNext/>
      <w:numPr>
        <w:ilvl w:val="2"/>
        <w:numId w:val="15"/>
      </w:numPr>
      <w:suppressAutoHyphens/>
      <w:spacing w:before="440" w:after="120" w:line="280" w:lineRule="exact"/>
    </w:pPr>
    <w:rPr>
      <w:rFonts w:ascii="Times New Roman" w:eastAsia="Times New Roman" w:hAnsi="Times New Roman" w:cs="Times New Roman"/>
      <w:i/>
      <w:szCs w:val="20"/>
      <w:lang w:val="en-US" w:eastAsia="da-DK"/>
    </w:rPr>
  </w:style>
  <w:style w:type="paragraph" w:customStyle="1" w:styleId="Headline1">
    <w:name w:val="Headline 1"/>
    <w:basedOn w:val="Normal"/>
    <w:autoRedefine/>
    <w:rsid w:val="00C50F18"/>
    <w:pPr>
      <w:keepNext/>
      <w:pageBreakBefore/>
      <w:numPr>
        <w:numId w:val="15"/>
      </w:numPr>
      <w:tabs>
        <w:tab w:val="left" w:pos="680"/>
      </w:tabs>
      <w:suppressAutoHyphens/>
      <w:spacing w:after="1120" w:line="440" w:lineRule="exact"/>
      <w:ind w:left="431" w:hanging="431"/>
    </w:pPr>
    <w:rPr>
      <w:rFonts w:ascii="TimesNewRoman" w:eastAsia="Times New Roman" w:hAnsi="TimesNewRoman" w:cs="Times New Roman"/>
      <w:sz w:val="48"/>
      <w:szCs w:val="20"/>
      <w:lang w:val="de-DE" w:eastAsia="da-DK"/>
    </w:rPr>
  </w:style>
  <w:style w:type="paragraph" w:customStyle="1" w:styleId="Headline5">
    <w:name w:val="Headline5"/>
    <w:basedOn w:val="Normal"/>
    <w:autoRedefine/>
    <w:rsid w:val="00C50F18"/>
    <w:pPr>
      <w:spacing w:before="120" w:line="280" w:lineRule="exact"/>
      <w:ind w:right="62"/>
    </w:pPr>
    <w:rPr>
      <w:rFonts w:eastAsia="Times New Roman" w:cs="Times New Roman"/>
      <w:b/>
      <w:i/>
      <w:lang w:val="en-GB" w:eastAsia="da-DK" w:bidi="hi-IN"/>
    </w:rPr>
  </w:style>
  <w:style w:type="paragraph" w:customStyle="1" w:styleId="Headline4">
    <w:name w:val="Headline 4"/>
    <w:next w:val="Normal"/>
    <w:autoRedefine/>
    <w:rsid w:val="00C50F18"/>
    <w:pPr>
      <w:tabs>
        <w:tab w:val="left" w:pos="680"/>
        <w:tab w:val="left" w:pos="57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mallCaps/>
      <w:kern w:val="32"/>
      <w:sz w:val="24"/>
      <w:szCs w:val="24"/>
      <w:lang w:eastAsia="da-DK" w:bidi="hi-IN"/>
    </w:rPr>
  </w:style>
  <w:style w:type="paragraph" w:customStyle="1" w:styleId="Bulletpoints">
    <w:name w:val="Bullet points"/>
    <w:basedOn w:val="Normal"/>
    <w:autoRedefine/>
    <w:rsid w:val="00872E19"/>
    <w:pPr>
      <w:numPr>
        <w:numId w:val="24"/>
      </w:numPr>
      <w:suppressAutoHyphens/>
      <w:spacing w:before="120" w:line="280" w:lineRule="exact"/>
      <w:ind w:right="62"/>
    </w:pPr>
    <w:rPr>
      <w:rFonts w:eastAsia="Times New Roman" w:cs="Times New Roman"/>
      <w:b/>
      <w:lang w:eastAsia="da-DK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1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ind w:left="431" w:hanging="431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paragraph" w:customStyle="1" w:styleId="Headline2">
    <w:name w:val="Headline 2"/>
    <w:basedOn w:val="Headline1"/>
    <w:autoRedefine/>
    <w:rsid w:val="00C50F18"/>
    <w:pPr>
      <w:keepNext w:val="0"/>
      <w:pageBreakBefore w:val="0"/>
      <w:numPr>
        <w:ilvl w:val="1"/>
      </w:numPr>
      <w:spacing w:before="360" w:after="240" w:line="320" w:lineRule="exact"/>
      <w:ind w:left="578" w:hanging="578"/>
    </w:pPr>
    <w:rPr>
      <w:rFonts w:ascii="Times New Roman" w:hAnsi="Times New Roman"/>
      <w:sz w:val="28"/>
      <w:lang w:val="en-GB"/>
    </w:rPr>
  </w:style>
  <w:style w:type="paragraph" w:customStyle="1" w:styleId="Headline3">
    <w:name w:val="Headline 3"/>
    <w:autoRedefine/>
    <w:rsid w:val="00C50F18"/>
    <w:pPr>
      <w:keepNext/>
      <w:numPr>
        <w:ilvl w:val="2"/>
        <w:numId w:val="15"/>
      </w:numPr>
      <w:suppressAutoHyphens/>
      <w:spacing w:before="440" w:after="120" w:line="280" w:lineRule="exact"/>
    </w:pPr>
    <w:rPr>
      <w:rFonts w:ascii="Times New Roman" w:eastAsia="Times New Roman" w:hAnsi="Times New Roman" w:cs="Times New Roman"/>
      <w:i/>
      <w:szCs w:val="20"/>
      <w:lang w:val="en-US" w:eastAsia="da-DK"/>
    </w:rPr>
  </w:style>
  <w:style w:type="paragraph" w:customStyle="1" w:styleId="Headline1">
    <w:name w:val="Headline 1"/>
    <w:basedOn w:val="Normal"/>
    <w:autoRedefine/>
    <w:rsid w:val="00C50F18"/>
    <w:pPr>
      <w:keepNext/>
      <w:pageBreakBefore/>
      <w:numPr>
        <w:numId w:val="15"/>
      </w:numPr>
      <w:tabs>
        <w:tab w:val="left" w:pos="680"/>
      </w:tabs>
      <w:suppressAutoHyphens/>
      <w:spacing w:after="1120" w:line="440" w:lineRule="exact"/>
      <w:ind w:left="431" w:hanging="431"/>
    </w:pPr>
    <w:rPr>
      <w:rFonts w:ascii="TimesNewRoman" w:eastAsia="Times New Roman" w:hAnsi="TimesNewRoman" w:cs="Times New Roman"/>
      <w:sz w:val="48"/>
      <w:szCs w:val="20"/>
      <w:lang w:val="de-DE" w:eastAsia="da-DK"/>
    </w:rPr>
  </w:style>
  <w:style w:type="paragraph" w:customStyle="1" w:styleId="Headline5">
    <w:name w:val="Headline5"/>
    <w:basedOn w:val="Normal"/>
    <w:autoRedefine/>
    <w:rsid w:val="00C50F18"/>
    <w:pPr>
      <w:spacing w:before="120" w:line="280" w:lineRule="exact"/>
      <w:ind w:right="62"/>
    </w:pPr>
    <w:rPr>
      <w:rFonts w:eastAsia="Times New Roman" w:cs="Times New Roman"/>
      <w:b/>
      <w:i/>
      <w:lang w:val="en-GB" w:eastAsia="da-DK" w:bidi="hi-IN"/>
    </w:rPr>
  </w:style>
  <w:style w:type="paragraph" w:customStyle="1" w:styleId="Headline4">
    <w:name w:val="Headline 4"/>
    <w:next w:val="Normal"/>
    <w:autoRedefine/>
    <w:rsid w:val="00C50F18"/>
    <w:pPr>
      <w:tabs>
        <w:tab w:val="left" w:pos="680"/>
        <w:tab w:val="left" w:pos="570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mallCaps/>
      <w:kern w:val="32"/>
      <w:sz w:val="24"/>
      <w:szCs w:val="24"/>
      <w:lang w:eastAsia="da-DK" w:bidi="hi-IN"/>
    </w:rPr>
  </w:style>
  <w:style w:type="paragraph" w:customStyle="1" w:styleId="Bulletpoints">
    <w:name w:val="Bullet points"/>
    <w:basedOn w:val="Normal"/>
    <w:autoRedefine/>
    <w:rsid w:val="00872E19"/>
    <w:pPr>
      <w:numPr>
        <w:numId w:val="24"/>
      </w:numPr>
      <w:suppressAutoHyphens/>
      <w:spacing w:before="120" w:line="280" w:lineRule="exact"/>
      <w:ind w:right="62"/>
    </w:pPr>
    <w:rPr>
      <w:rFonts w:eastAsia="Times New Roman" w:cs="Times New Roman"/>
      <w:b/>
      <w:lang w:eastAsia="da-D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.i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Alta</cp:lastModifiedBy>
  <cp:revision>10</cp:revision>
  <cp:lastPrinted>2012-08-01T11:51:00Z</cp:lastPrinted>
  <dcterms:created xsi:type="dcterms:W3CDTF">2012-07-30T16:15:00Z</dcterms:created>
  <dcterms:modified xsi:type="dcterms:W3CDTF">2012-08-01T11:52:00Z</dcterms:modified>
</cp:coreProperties>
</file>