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448"/>
        <w:gridCol w:w="1134"/>
        <w:gridCol w:w="1560"/>
      </w:tblGrid>
      <w:tr w:rsidR="00676680">
        <w:trPr>
          <w:trHeight w:val="680"/>
        </w:trPr>
        <w:tc>
          <w:tcPr>
            <w:tcW w:w="11448" w:type="dxa"/>
            <w:vMerge w:val="restart"/>
            <w:vAlign w:val="center"/>
          </w:tcPr>
          <w:p w:rsidR="00676680" w:rsidRDefault="00A837E4">
            <w:pPr>
              <w:pStyle w:val="Titill"/>
            </w:pPr>
            <w:r>
              <w:t>Garðyrkjuvöru og -þjónusta - umhverfisskilyrði</w:t>
            </w:r>
          </w:p>
        </w:tc>
        <w:tc>
          <w:tcPr>
            <w:tcW w:w="1134" w:type="dxa"/>
            <w:vAlign w:val="bottom"/>
          </w:tcPr>
          <w:p w:rsidR="00676680" w:rsidRDefault="00A837E4">
            <w:r>
              <w:t>Dags.</w:t>
            </w:r>
          </w:p>
        </w:tc>
        <w:tc>
          <w:tcPr>
            <w:tcW w:w="1560" w:type="dxa"/>
            <w:vAlign w:val="bottom"/>
          </w:tcPr>
          <w:p w:rsidR="00676680" w:rsidRDefault="00A837E4" w:rsidP="0084527B">
            <w:pPr>
              <w:jc w:val="right"/>
            </w:pPr>
            <w:r>
              <w:t>2012-</w:t>
            </w:r>
            <w:r w:rsidR="0084527B">
              <w:t>0</w:t>
            </w:r>
            <w:r w:rsidR="0084527B">
              <w:t>7</w:t>
            </w:r>
            <w:r>
              <w:t>-</w:t>
            </w:r>
            <w:r w:rsidR="0084527B">
              <w:t>18</w:t>
            </w:r>
          </w:p>
        </w:tc>
      </w:tr>
      <w:tr w:rsidR="00676680">
        <w:trPr>
          <w:trHeight w:val="680"/>
        </w:trPr>
        <w:tc>
          <w:tcPr>
            <w:tcW w:w="11448" w:type="dxa"/>
            <w:vMerge/>
            <w:vAlign w:val="center"/>
          </w:tcPr>
          <w:p w:rsidR="00676680" w:rsidRDefault="00676680"/>
        </w:tc>
        <w:tc>
          <w:tcPr>
            <w:tcW w:w="1134" w:type="dxa"/>
            <w:vAlign w:val="bottom"/>
          </w:tcPr>
          <w:p w:rsidR="00676680" w:rsidRDefault="00A837E4">
            <w:r>
              <w:t>Útgáfa</w:t>
            </w:r>
          </w:p>
        </w:tc>
        <w:tc>
          <w:tcPr>
            <w:tcW w:w="1560" w:type="dxa"/>
            <w:vAlign w:val="bottom"/>
          </w:tcPr>
          <w:p w:rsidR="00676680" w:rsidRDefault="00A837E4" w:rsidP="0084527B">
            <w:pPr>
              <w:jc w:val="right"/>
            </w:pPr>
            <w:r>
              <w:t>1.</w:t>
            </w:r>
            <w:r w:rsidR="0084527B">
              <w:t>1</w:t>
            </w:r>
          </w:p>
        </w:tc>
      </w:tr>
    </w:tbl>
    <w:p w:rsidR="00676680" w:rsidRDefault="00A837E4">
      <w:pPr>
        <w:pStyle w:val="Heading1"/>
        <w:numPr>
          <w:ilvl w:val="0"/>
          <w:numId w:val="0"/>
        </w:numPr>
        <w:ind w:left="431" w:hanging="431"/>
      </w:pPr>
      <w:r>
        <w:t>Viðfangsefni og gildissvið</w:t>
      </w:r>
    </w:p>
    <w:p w:rsidR="00676680" w:rsidRDefault="00A837E4">
      <w:r>
        <w:t xml:space="preserve">Umhverfisskilyrðin eru sett fram á vegum verkefnisins Vistvæn innkaup sem er samstarfsverkefni ríkis og sveitarfélaga, sjá nánar á </w:t>
      </w:r>
      <w:hyperlink r:id="rId9" w:history="1">
        <w:r>
          <w:rPr>
            <w:rStyle w:val="Hyperlink"/>
          </w:rPr>
          <w:t>www.vinn.is</w:t>
        </w:r>
      </w:hyperlink>
      <w:r>
        <w:t xml:space="preserve">. </w:t>
      </w:r>
    </w:p>
    <w:p w:rsidR="00676680" w:rsidRDefault="00A837E4">
      <w:r>
        <w:t xml:space="preserve">Umhverfisskilyrðin eru byggð á viðmiðum framkvæmdastjórnar ESB um vistvæn innkaup, EC GPP </w:t>
      </w:r>
      <w:proofErr w:type="spellStart"/>
      <w:r>
        <w:t>TrainingToolkit</w:t>
      </w:r>
      <w:proofErr w:type="spellEnd"/>
      <w:r>
        <w:t xml:space="preserve">, </w:t>
      </w:r>
      <w:hyperlink r:id="rId10" w:history="1">
        <w:r>
          <w:rPr>
            <w:rStyle w:val="Hyperlink"/>
          </w:rPr>
          <w:t>http://ec.europa.eu/environment/gpp/toolkit_en.htm</w:t>
        </w:r>
      </w:hyperlink>
      <w:r>
        <w:t xml:space="preserve">. </w:t>
      </w:r>
    </w:p>
    <w:p w:rsidR="00676680" w:rsidRDefault="00A837E4">
      <w:r>
        <w:t>Þessi skilyrði fjalla um innkaup á garðyrkjuvörum og –þjónustu og taka til eftirfarandi:</w:t>
      </w:r>
    </w:p>
    <w:p w:rsidR="00676680" w:rsidRDefault="00FF76C9" w:rsidP="0084527B">
      <w:pPr>
        <w:pStyle w:val="ListParagraph"/>
        <w:numPr>
          <w:ilvl w:val="0"/>
          <w:numId w:val="47"/>
        </w:numPr>
        <w:rPr>
          <w:b/>
        </w:rPr>
      </w:pPr>
      <w:r>
        <w:rPr>
          <w:b/>
        </w:rPr>
        <w:t xml:space="preserve">Garðplöntur </w:t>
      </w:r>
      <w:r w:rsidR="00A837E4">
        <w:rPr>
          <w:b/>
        </w:rPr>
        <w:t>(þ.e. aðfluttar plöntur)</w:t>
      </w:r>
    </w:p>
    <w:p w:rsidR="00FF76C9" w:rsidRDefault="00FF76C9" w:rsidP="0084527B">
      <w:pPr>
        <w:pStyle w:val="ListParagraph"/>
        <w:numPr>
          <w:ilvl w:val="0"/>
          <w:numId w:val="47"/>
        </w:numPr>
        <w:rPr>
          <w:b/>
        </w:rPr>
      </w:pPr>
      <w:r>
        <w:rPr>
          <w:b/>
        </w:rPr>
        <w:t>Jarðvegsbætir (áburður, þ.m.t. molta, húsdýraáburður og lífrænar leifar)</w:t>
      </w:r>
    </w:p>
    <w:p w:rsidR="00676680" w:rsidRDefault="00A837E4" w:rsidP="0084527B">
      <w:pPr>
        <w:pStyle w:val="ListParagraph"/>
        <w:numPr>
          <w:ilvl w:val="0"/>
          <w:numId w:val="47"/>
        </w:numPr>
        <w:rPr>
          <w:b/>
        </w:rPr>
      </w:pPr>
      <w:r>
        <w:rPr>
          <w:b/>
        </w:rPr>
        <w:t>Vökvunarkerfi</w:t>
      </w:r>
    </w:p>
    <w:p w:rsidR="00676680" w:rsidRDefault="00A837E4" w:rsidP="0084527B">
      <w:pPr>
        <w:pStyle w:val="ListParagraph"/>
        <w:numPr>
          <w:ilvl w:val="0"/>
          <w:numId w:val="47"/>
        </w:numPr>
        <w:rPr>
          <w:b/>
        </w:rPr>
      </w:pPr>
      <w:r>
        <w:rPr>
          <w:b/>
        </w:rPr>
        <w:t>Garðyrkjuvélar</w:t>
      </w:r>
    </w:p>
    <w:p w:rsidR="00676680" w:rsidRDefault="00A837E4" w:rsidP="0084527B">
      <w:pPr>
        <w:pStyle w:val="ListParagraph"/>
        <w:numPr>
          <w:ilvl w:val="0"/>
          <w:numId w:val="47"/>
        </w:numPr>
        <w:rPr>
          <w:b/>
        </w:rPr>
      </w:pPr>
      <w:r>
        <w:rPr>
          <w:b/>
        </w:rPr>
        <w:t>Smurolíur</w:t>
      </w:r>
      <w:r w:rsidR="000078F3">
        <w:rPr>
          <w:b/>
        </w:rPr>
        <w:t xml:space="preserve"> véla</w:t>
      </w:r>
    </w:p>
    <w:p w:rsidR="000078F3" w:rsidRDefault="000078F3" w:rsidP="0084527B">
      <w:pPr>
        <w:pStyle w:val="ListParagraph"/>
        <w:numPr>
          <w:ilvl w:val="0"/>
          <w:numId w:val="47"/>
        </w:numPr>
        <w:rPr>
          <w:b/>
        </w:rPr>
      </w:pPr>
      <w:r>
        <w:rPr>
          <w:b/>
        </w:rPr>
        <w:t>Garðyrkjuþjónusta</w:t>
      </w:r>
    </w:p>
    <w:p w:rsidR="00676680" w:rsidRDefault="00A837E4">
      <w:bookmarkStart w:id="0" w:name="_GoBack"/>
      <w:bookmarkEnd w:id="0"/>
      <w:r>
        <w:t>Viðmiðin eiga aðeins við eftirfarandi garðyrkjuvélar sem annað hvort eru knúnar eldsneyti, rafmagni, hleðslurafhlöðum eða handknúnar:</w:t>
      </w:r>
    </w:p>
    <w:p w:rsidR="00676680" w:rsidRDefault="00A837E4">
      <w:pPr>
        <w:pStyle w:val="ListParagraph"/>
        <w:numPr>
          <w:ilvl w:val="0"/>
          <w:numId w:val="41"/>
        </w:numPr>
      </w:pPr>
      <w:r>
        <w:t>Sláttuvélar (einnig sláttubílar) og jarðvegslosarar</w:t>
      </w:r>
      <w:r w:rsidR="0067282E">
        <w:t xml:space="preserve"> </w:t>
      </w:r>
      <w:r>
        <w:t xml:space="preserve">(e. </w:t>
      </w:r>
      <w:proofErr w:type="spellStart"/>
      <w:r>
        <w:t>scarifiers</w:t>
      </w:r>
      <w:proofErr w:type="spellEnd"/>
      <w:r>
        <w:t>)</w:t>
      </w:r>
    </w:p>
    <w:p w:rsidR="00676680" w:rsidRDefault="00A837E4">
      <w:pPr>
        <w:pStyle w:val="ListParagraph"/>
        <w:numPr>
          <w:ilvl w:val="0"/>
          <w:numId w:val="41"/>
        </w:numPr>
      </w:pPr>
      <w:r>
        <w:t xml:space="preserve">Sláttuorf fyrir runna (e. </w:t>
      </w:r>
      <w:proofErr w:type="spellStart"/>
      <w:r>
        <w:t>brushsaws</w:t>
      </w:r>
      <w:proofErr w:type="spellEnd"/>
      <w:r>
        <w:t>)</w:t>
      </w:r>
    </w:p>
    <w:p w:rsidR="00676680" w:rsidRDefault="00A837E4">
      <w:pPr>
        <w:pStyle w:val="ListParagraph"/>
        <w:numPr>
          <w:ilvl w:val="0"/>
          <w:numId w:val="41"/>
        </w:numPr>
      </w:pPr>
      <w:r>
        <w:t>Keðjusagir</w:t>
      </w:r>
    </w:p>
    <w:p w:rsidR="00676680" w:rsidRDefault="00A837E4">
      <w:pPr>
        <w:pStyle w:val="ListParagraph"/>
        <w:numPr>
          <w:ilvl w:val="0"/>
          <w:numId w:val="41"/>
        </w:numPr>
      </w:pPr>
      <w:r>
        <w:t xml:space="preserve">Sláttuorf (e. </w:t>
      </w:r>
      <w:proofErr w:type="spellStart"/>
      <w:r>
        <w:t>strimmers</w:t>
      </w:r>
      <w:proofErr w:type="spellEnd"/>
      <w:r>
        <w:t>)</w:t>
      </w:r>
    </w:p>
    <w:p w:rsidR="00676680" w:rsidRDefault="00A837E4">
      <w:pPr>
        <w:pStyle w:val="ListParagraph"/>
        <w:numPr>
          <w:ilvl w:val="0"/>
          <w:numId w:val="41"/>
        </w:numPr>
      </w:pPr>
      <w:r>
        <w:t>Hekkklippur</w:t>
      </w:r>
      <w:r w:rsidR="0067282E">
        <w:t xml:space="preserve"> </w:t>
      </w:r>
      <w:r>
        <w:t xml:space="preserve">(e. </w:t>
      </w:r>
      <w:proofErr w:type="spellStart"/>
      <w:r>
        <w:t>trimmers</w:t>
      </w:r>
      <w:proofErr w:type="spellEnd"/>
      <w:r>
        <w:t xml:space="preserve">) og hekksnyrtir (e. </w:t>
      </w:r>
      <w:proofErr w:type="spellStart"/>
      <w:r>
        <w:t>hedgetrimmers</w:t>
      </w:r>
      <w:proofErr w:type="spellEnd"/>
      <w:r>
        <w:t>)</w:t>
      </w:r>
    </w:p>
    <w:p w:rsidR="00676680" w:rsidRDefault="00A837E4">
      <w:pPr>
        <w:pStyle w:val="ListParagraph"/>
        <w:numPr>
          <w:ilvl w:val="0"/>
          <w:numId w:val="41"/>
        </w:numPr>
      </w:pPr>
      <w:r>
        <w:t>Laufblásarar</w:t>
      </w:r>
      <w:r w:rsidR="0067282E">
        <w:t xml:space="preserve"> </w:t>
      </w:r>
      <w:r>
        <w:t xml:space="preserve">(e. </w:t>
      </w:r>
      <w:proofErr w:type="spellStart"/>
      <w:r>
        <w:t>leafblowers</w:t>
      </w:r>
      <w:proofErr w:type="spellEnd"/>
      <w:r>
        <w:t>) og laufsugur</w:t>
      </w:r>
      <w:r w:rsidR="0067282E">
        <w:t xml:space="preserve"> </w:t>
      </w:r>
      <w:r>
        <w:t xml:space="preserve">(e. </w:t>
      </w:r>
      <w:proofErr w:type="spellStart"/>
      <w:r>
        <w:t>leafcollectors</w:t>
      </w:r>
      <w:proofErr w:type="spellEnd"/>
      <w:r>
        <w:t>)</w:t>
      </w:r>
    </w:p>
    <w:p w:rsidR="00676680" w:rsidRDefault="00A837E4">
      <w:pPr>
        <w:pStyle w:val="ListParagraph"/>
        <w:numPr>
          <w:ilvl w:val="0"/>
          <w:numId w:val="41"/>
        </w:numPr>
      </w:pPr>
      <w:r>
        <w:lastRenderedPageBreak/>
        <w:t>Sláttugreiður</w:t>
      </w:r>
      <w:r w:rsidR="0067282E">
        <w:t xml:space="preserve"> </w:t>
      </w:r>
      <w:r>
        <w:t xml:space="preserve">(e. </w:t>
      </w:r>
      <w:proofErr w:type="spellStart"/>
      <w:r>
        <w:t>auto</w:t>
      </w:r>
      <w:proofErr w:type="spellEnd"/>
      <w:r>
        <w:t>-</w:t>
      </w:r>
      <w:proofErr w:type="spellStart"/>
      <w:r>
        <w:t>scythes</w:t>
      </w:r>
      <w:proofErr w:type="spellEnd"/>
      <w:r>
        <w:t>)</w:t>
      </w:r>
    </w:p>
    <w:p w:rsidR="00676680" w:rsidRDefault="00A837E4">
      <w:pPr>
        <w:pStyle w:val="ListParagraph"/>
        <w:numPr>
          <w:ilvl w:val="0"/>
          <w:numId w:val="41"/>
        </w:numPr>
      </w:pPr>
      <w:r>
        <w:t xml:space="preserve">Jarðvegstætarar (e. </w:t>
      </w:r>
      <w:proofErr w:type="spellStart"/>
      <w:r>
        <w:t>rotarycultivators</w:t>
      </w:r>
      <w:proofErr w:type="spellEnd"/>
      <w:r>
        <w:t>)</w:t>
      </w:r>
    </w:p>
    <w:p w:rsidR="00676680" w:rsidRDefault="00A837E4">
      <w:pPr>
        <w:pStyle w:val="ListParagraph"/>
        <w:numPr>
          <w:ilvl w:val="0"/>
          <w:numId w:val="41"/>
        </w:numPr>
      </w:pPr>
      <w:r>
        <w:t xml:space="preserve">Greinatætarar (e. </w:t>
      </w:r>
      <w:proofErr w:type="spellStart"/>
      <w:r>
        <w:t>compostshredders</w:t>
      </w:r>
      <w:proofErr w:type="spellEnd"/>
      <w:r>
        <w:t>)</w:t>
      </w:r>
    </w:p>
    <w:p w:rsidR="00676680" w:rsidRDefault="00676680"/>
    <w:p w:rsidR="00676680" w:rsidRDefault="00A837E4">
      <w:r>
        <w:t>Umhverfisskilyrðin skiptast í grunnviðmið og ítarviðmið. Við gerð útboðsgagna er hægt að nýta annað hvort grunn- eða ítarviðmiðin:</w:t>
      </w:r>
    </w:p>
    <w:p w:rsidR="00676680" w:rsidRDefault="00A837E4">
      <w:pPr>
        <w:pStyle w:val="ListParagraph"/>
        <w:numPr>
          <w:ilvl w:val="0"/>
          <w:numId w:val="2"/>
        </w:numPr>
      </w:pPr>
      <w:r>
        <w:rPr>
          <w:b/>
        </w:rPr>
        <w:t>Grunnviðmið</w:t>
      </w:r>
      <w:r>
        <w:t>; með þeim er lögð áhersla á mikilvægustu umhverfisáhrif vörunnar eða þjónustunnar. Viðmiðin eru þannig útfærð að það er tiltölulega auðvelt að sannreyna að þau séu uppfyllt.</w:t>
      </w:r>
    </w:p>
    <w:p w:rsidR="00676680" w:rsidRDefault="00A837E4">
      <w:pPr>
        <w:pStyle w:val="ListParagraph"/>
        <w:numPr>
          <w:ilvl w:val="0"/>
          <w:numId w:val="2"/>
        </w:numPr>
      </w:pPr>
      <w:r>
        <w:rPr>
          <w:b/>
        </w:rPr>
        <w:t>Ítarviðmið</w:t>
      </w:r>
      <w:r>
        <w:t xml:space="preserve">; gera meiri kröfur til vörunnar eða þjónustunnar um að hún sé sú besta á markaðnum. Til að sannreyna að ítarviðmiðin séu uppfyllt getur þurft meiri þekkingu á vistvænum innkaupum. </w:t>
      </w:r>
    </w:p>
    <w:p w:rsidR="00676680" w:rsidRDefault="00A837E4">
      <w:r>
        <w:t>Grunn- og ítarviðmiðin samanstanda af lágmarksskilyrðum og matsviðmiðum:</w:t>
      </w:r>
    </w:p>
    <w:p w:rsidR="00676680" w:rsidRDefault="00A837E4">
      <w:r>
        <w:rPr>
          <w:b/>
        </w:rPr>
        <w:t>Lágmarksskilyrði</w:t>
      </w:r>
      <w:r>
        <w:t>; eru ófrávíkjanleg skilyrði sem boðin vara eða þjónusta skal uppfylla til að tilboð verði tekið til nánari skoðunar.</w:t>
      </w:r>
    </w:p>
    <w:p w:rsidR="00676680" w:rsidRDefault="00A837E4">
      <w:r>
        <w:rPr>
          <w:b/>
        </w:rPr>
        <w:t>Matsviðmið</w:t>
      </w:r>
      <w:r>
        <w:t>;</w:t>
      </w:r>
      <w:r w:rsidR="00274472">
        <w:t xml:space="preserve"> </w:t>
      </w:r>
      <w:r>
        <w:t>má nota ef útboðsaðili vill veita tilboði aukastig sem stendur sig betur en lágmarksskilyrðin segja til um varðandi umhverfis-og gæðaþætti. Í stigamatsgjöf geta matsviðmið fyrir umhverfisþætti vegið 10 til 15% af heildareinkunn.</w:t>
      </w:r>
    </w:p>
    <w:p w:rsidR="00676680" w:rsidRDefault="00676680"/>
    <w:p w:rsidR="00676680" w:rsidRDefault="00A837E4">
      <w:pPr>
        <w:spacing w:after="200"/>
        <w:rPr>
          <w:rFonts w:eastAsiaTheme="majorEastAsia" w:cstheme="majorBidi"/>
          <w:b/>
          <w:bCs/>
          <w:smallCaps/>
          <w:sz w:val="32"/>
          <w:szCs w:val="28"/>
        </w:rPr>
      </w:pPr>
      <w:r>
        <w:br w:type="page"/>
      </w:r>
    </w:p>
    <w:p w:rsidR="00676680" w:rsidRDefault="00A837E4">
      <w:pPr>
        <w:pStyle w:val="Heading1"/>
        <w:numPr>
          <w:ilvl w:val="0"/>
          <w:numId w:val="0"/>
        </w:numPr>
        <w:ind w:left="431" w:hanging="431"/>
      </w:pPr>
      <w:r>
        <w:lastRenderedPageBreak/>
        <w:t>Helstu umhverfisáhrif</w:t>
      </w:r>
    </w:p>
    <w:tbl>
      <w:tblPr>
        <w:tblStyle w:val="TableGrid"/>
        <w:tblW w:w="0" w:type="auto"/>
        <w:tblLook w:val="04A0" w:firstRow="1" w:lastRow="0" w:firstColumn="1" w:lastColumn="0" w:noHBand="0" w:noVBand="1"/>
      </w:tblPr>
      <w:tblGrid>
        <w:gridCol w:w="7072"/>
        <w:gridCol w:w="7072"/>
      </w:tblGrid>
      <w:tr w:rsidR="00676680">
        <w:tc>
          <w:tcPr>
            <w:tcW w:w="7072" w:type="dxa"/>
          </w:tcPr>
          <w:p w:rsidR="00676680" w:rsidRDefault="00A837E4">
            <w:pPr>
              <w:rPr>
                <w:b/>
              </w:rPr>
            </w:pPr>
            <w:r>
              <w:rPr>
                <w:b/>
              </w:rPr>
              <w:t>Helstu umhverfisáhrif</w:t>
            </w:r>
          </w:p>
        </w:tc>
        <w:tc>
          <w:tcPr>
            <w:tcW w:w="7072" w:type="dxa"/>
          </w:tcPr>
          <w:p w:rsidR="00676680" w:rsidRDefault="00A837E4">
            <w:pPr>
              <w:rPr>
                <w:b/>
              </w:rPr>
            </w:pPr>
            <w:r>
              <w:rPr>
                <w:b/>
              </w:rPr>
              <w:t>Nálgun (GPP)</w:t>
            </w:r>
          </w:p>
        </w:tc>
      </w:tr>
      <w:tr w:rsidR="00676680">
        <w:tc>
          <w:tcPr>
            <w:tcW w:w="7072" w:type="dxa"/>
          </w:tcPr>
          <w:p w:rsidR="00676680" w:rsidRDefault="00A837E4">
            <w:pPr>
              <w:pStyle w:val="ListParagraph"/>
              <w:numPr>
                <w:ilvl w:val="0"/>
                <w:numId w:val="15"/>
              </w:numPr>
            </w:pPr>
            <w:proofErr w:type="spellStart"/>
            <w:r>
              <w:t>Megun</w:t>
            </w:r>
            <w:proofErr w:type="spellEnd"/>
            <w:r>
              <w:t xml:space="preserve"> jarðvegs og vatns, ofauðgun, lífmögnun og uppsöfnun hættulegra efna sem hafa neikvæð áhrif og jafnvel eituráhrif á umhverfis vegna óæskilegrar notkunar á plöntuvarnarefnum, áburði og eitruðum smurolíum.</w:t>
            </w:r>
          </w:p>
          <w:p w:rsidR="00676680" w:rsidRDefault="00A837E4">
            <w:pPr>
              <w:pStyle w:val="ListParagraph"/>
              <w:numPr>
                <w:ilvl w:val="0"/>
                <w:numId w:val="15"/>
              </w:numPr>
            </w:pPr>
            <w:r>
              <w:t>Ofnotkun á óendurnýjanlegum auðlindum s.s. mó sem jarðvegsbæti.</w:t>
            </w:r>
          </w:p>
          <w:p w:rsidR="00676680" w:rsidRDefault="00A837E4">
            <w:pPr>
              <w:pStyle w:val="ListParagraph"/>
              <w:numPr>
                <w:ilvl w:val="0"/>
                <w:numId w:val="15"/>
              </w:numPr>
            </w:pPr>
            <w:r>
              <w:t>Ofnotkun á drykkjarvatni</w:t>
            </w:r>
          </w:p>
          <w:p w:rsidR="00676680" w:rsidRDefault="00A837E4">
            <w:pPr>
              <w:pStyle w:val="ListParagraph"/>
              <w:numPr>
                <w:ilvl w:val="0"/>
                <w:numId w:val="15"/>
              </w:numPr>
            </w:pPr>
            <w:r>
              <w:t>Mikil framleiðsla á lífrænum úrgangi</w:t>
            </w:r>
          </w:p>
          <w:p w:rsidR="00676680" w:rsidRDefault="00A837E4">
            <w:pPr>
              <w:pStyle w:val="ListParagraph"/>
              <w:numPr>
                <w:ilvl w:val="0"/>
                <w:numId w:val="15"/>
              </w:numPr>
            </w:pPr>
            <w:r>
              <w:t>Mikil framleiðsla á umbúðaúrgangi</w:t>
            </w:r>
          </w:p>
          <w:p w:rsidR="00676680" w:rsidRDefault="00A837E4">
            <w:pPr>
              <w:pStyle w:val="ListParagraph"/>
              <w:numPr>
                <w:ilvl w:val="0"/>
                <w:numId w:val="15"/>
              </w:numPr>
            </w:pPr>
            <w:r>
              <w:t>Hávaða- og loftmengun frá garðyrkjuvélum, eldsneytisnotkun</w:t>
            </w:r>
          </w:p>
          <w:p w:rsidR="00676680" w:rsidRDefault="0084410C">
            <w:pPr>
              <w:pStyle w:val="ListParagraph"/>
              <w:numPr>
                <w:ilvl w:val="0"/>
                <w:numId w:val="15"/>
              </w:numPr>
            </w:pPr>
            <w:r>
              <w:rPr>
                <w:i/>
                <w:noProof/>
                <w:lang w:eastAsia="is-IS"/>
              </w:rPr>
              <mc:AlternateContent>
                <mc:Choice Requires="wps">
                  <w:drawing>
                    <wp:anchor distT="0" distB="0" distL="114300" distR="114300" simplePos="0" relativeHeight="251659264" behindDoc="0" locked="0" layoutInCell="1" allowOverlap="1" wp14:anchorId="3AB13A75" wp14:editId="3C1C70AC">
                      <wp:simplePos x="0" y="0"/>
                      <wp:positionH relativeFrom="column">
                        <wp:posOffset>4102735</wp:posOffset>
                      </wp:positionH>
                      <wp:positionV relativeFrom="paragraph">
                        <wp:posOffset>137795</wp:posOffset>
                      </wp:positionV>
                      <wp:extent cx="572135" cy="396875"/>
                      <wp:effectExtent l="19050" t="19050" r="37465" b="41275"/>
                      <wp:wrapNone/>
                      <wp:docPr id="1" name="Notched 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2135" cy="396875"/>
                              </a:xfrm>
                              <a:prstGeom prst="notchedRightArrow">
                                <a:avLst/>
                              </a:prstGeom>
                              <a:solidFill>
                                <a:srgbClr val="92D05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Notched Right Arrow 1" o:spid="_x0000_s1026" type="#_x0000_t94" style="position:absolute;margin-left:323.05pt;margin-top:10.85pt;width:45.05pt;height:3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8TXtAIAAOUFAAAOAAAAZHJzL2Uyb0RvYy54bWysVEtv2zAMvg/YfxB0X22nTR9GnSJo0WFA&#10;0BVth54VWYqFyaImKXGyXz9Kdtz0gR2G+SCIJvmR/ETy8mrbarIRziswFS2OckqE4VArs6roj6fb&#10;L+eU+MBMzTQYUdGd8PRq9vnTZWdLMYEGdC0cQRDjy85WtAnBllnmeSNa5o/ACoNKCa5lAUW3ymrH&#10;OkRvdTbJ89OsA1dbB1x4j39veiWdJXwpBQ/fpfQiEF1RzC2k06VzGc9sdsnKlWO2UXxIg/1DFi1T&#10;BoOOUDcsMLJ26h1Uq7gDDzIccWgzkFJxkWrAaor8TTWPDbMi1YLkeDvS5P8fLL/b3Duianw7Sgxr&#10;8YnuICD7NXlQqyaQuXPQkSIS1Vlfov2jvXexVG8XwH96VGSvNFHwg81WujbaYqFkm1jfjayLbSAc&#10;f07PJsXxlBKOquOL0/OzaQyWsXLvbJ0PXwW0JF4qavr8Unopu0Q82yx86P329ilJ0Kq+VVonwa2W&#10;19qRDcNuuJjc5NPUABjKH5ppQzpMpcBE3kPExhQjSNgmZl4joKTNwEpPRKIk7LSIeNo8CImUY+mT&#10;PsBrTMa5MKHoVQ2rRZ/vNMdvYCaNR8wi8ZQAI7LEOkfsAeBj7J6owT66ijQro3P+t8R659EjRQYT&#10;RudWGXAfAWisaojc2+9J6qmJLC2h3mFDOugn1Vt+q/DVF8yHe+ZwNHGIcd2E73hIDfhOMNwoacD9&#10;/uh/tMeJQS0lHY56Rf2vNXOCEv3N4CxdFCcncTck4QTbEQV3qFkeasy6vQbsH5wXzC5do33Q+6t0&#10;0D7jVprHqKhihmPsivLg9sJ16FcQ7jUu5vNkhvvAsrAwj5ZH8MhqbOSn7TNzdmj9gDNzB/u1wMo3&#10;Td/bRk8D83UAqdJEvPA68I27JDXOsPfisjqUk9XLdp79AQAA//8DAFBLAwQUAAYACAAAACEAhZfJ&#10;duEAAAAJAQAADwAAAGRycy9kb3ducmV2LnhtbEyPTWvDMAyG74P+B6PCbqsTtyQhi1O2wQrbYdCP&#10;Q49uoiahsRxit83+/bTTdhR63lePivVke3HD0XeONMSLCARS5eqOGg2H/ftTBsIHQ7XpHaGGb/Sw&#10;LmcPhclrd6ct3nahEVxCPjca2hCGXEpftWiNX7gBiXdnN1oTeBwbWY/mzuW2lyqKEmlNR3yhNQO+&#10;tVhddlfLGtnxa/k67T+Ol89tqg64Oftmo/XjfHp5BhFwCn8w/OpzBkp2Orkr1V70GpJVEjOqQcUp&#10;CAbSZaJAnDRkKwWyLOT/D8ofAAAA//8DAFBLAQItABQABgAIAAAAIQC2gziS/gAAAOEBAAATAAAA&#10;AAAAAAAAAAAAAAAAAABbQ29udGVudF9UeXBlc10ueG1sUEsBAi0AFAAGAAgAAAAhADj9If/WAAAA&#10;lAEAAAsAAAAAAAAAAAAAAAAALwEAAF9yZWxzLy5yZWxzUEsBAi0AFAAGAAgAAAAhAOfvxNe0AgAA&#10;5QUAAA4AAAAAAAAAAAAAAAAALgIAAGRycy9lMm9Eb2MueG1sUEsBAi0AFAAGAAgAAAAhAIWXyXbh&#10;AAAACQEAAA8AAAAAAAAAAAAAAAAADgUAAGRycy9kb3ducmV2LnhtbFBLBQYAAAAABAAEAPMAAAAc&#10;BgAAAAA=&#10;" adj="14108" fillcolor="#92d050" strokecolor="black [3213]" strokeweight=".25pt">
                      <v:path arrowok="t"/>
                    </v:shape>
                  </w:pict>
                </mc:Fallback>
              </mc:AlternateContent>
            </w:r>
            <w:r w:rsidR="00A837E4">
              <w:t>Flutningar</w:t>
            </w:r>
          </w:p>
        </w:tc>
        <w:tc>
          <w:tcPr>
            <w:tcW w:w="7072" w:type="dxa"/>
          </w:tcPr>
          <w:p w:rsidR="00676680" w:rsidRDefault="00A837E4">
            <w:pPr>
              <w:pStyle w:val="ListParagraph"/>
              <w:numPr>
                <w:ilvl w:val="0"/>
                <w:numId w:val="15"/>
              </w:numPr>
            </w:pPr>
            <w:r>
              <w:t xml:space="preserve">Notkun á moltu úr lífrænum úrgangi sem jarðvegsbæti og áburðargjafa með gæðastýringu. </w:t>
            </w:r>
          </w:p>
          <w:p w:rsidR="00676680" w:rsidRDefault="00A837E4">
            <w:pPr>
              <w:pStyle w:val="ListParagraph"/>
              <w:numPr>
                <w:ilvl w:val="0"/>
                <w:numId w:val="15"/>
              </w:numPr>
            </w:pPr>
            <w:r>
              <w:t>Forðast notkun á mó sem jarðvegsbæti.</w:t>
            </w:r>
          </w:p>
          <w:p w:rsidR="00676680" w:rsidRDefault="00A837E4">
            <w:pPr>
              <w:pStyle w:val="ListParagraph"/>
              <w:numPr>
                <w:ilvl w:val="0"/>
                <w:numId w:val="15"/>
              </w:numPr>
            </w:pPr>
            <w:r>
              <w:t>Takmarka hættu vegna notkunar á plöntuvarnarefnum og nota hættuminni leiðir við stjórnun á illgresi og skordýrum.</w:t>
            </w:r>
          </w:p>
          <w:p w:rsidR="00676680" w:rsidRDefault="00A837E4">
            <w:pPr>
              <w:pStyle w:val="ListParagraph"/>
              <w:numPr>
                <w:ilvl w:val="0"/>
                <w:numId w:val="15"/>
              </w:numPr>
            </w:pPr>
            <w:r>
              <w:t>Nota (þegar mögulegt er) ódrykkjarhæft vatn, koma upp skilvirku vökvunarkerfi og draga úr vatnsþörf með ýmsum leiðum, svo sem með þekjuefni á beðum, plöntuvali í samræmi við vatnsþörf, eða með því að velja innlendar eða aðhæfðar plöntur.</w:t>
            </w:r>
          </w:p>
          <w:p w:rsidR="00676680" w:rsidRDefault="00A837E4">
            <w:pPr>
              <w:pStyle w:val="ListParagraph"/>
              <w:numPr>
                <w:ilvl w:val="0"/>
                <w:numId w:val="15"/>
              </w:numPr>
            </w:pPr>
            <w:r>
              <w:t>Velja lífrænt ræktaðar plöntur og innlendar tegundir.</w:t>
            </w:r>
          </w:p>
          <w:p w:rsidR="00676680" w:rsidRDefault="00A837E4">
            <w:pPr>
              <w:pStyle w:val="ListParagraph"/>
              <w:numPr>
                <w:ilvl w:val="0"/>
                <w:numId w:val="15"/>
              </w:numPr>
            </w:pPr>
            <w:r>
              <w:t>Tryggja flokkun úrgangs og jarðgerð á lífrænum úrgangi.</w:t>
            </w:r>
          </w:p>
          <w:p w:rsidR="00676680" w:rsidRDefault="00A837E4">
            <w:pPr>
              <w:pStyle w:val="ListParagraph"/>
              <w:numPr>
                <w:ilvl w:val="0"/>
                <w:numId w:val="15"/>
              </w:numPr>
            </w:pPr>
            <w:r>
              <w:t xml:space="preserve">Kaupa vörur í endurunnum umbúðum, </w:t>
            </w:r>
            <w:proofErr w:type="spellStart"/>
            <w:r>
              <w:t>jarðgeranlegum</w:t>
            </w:r>
            <w:proofErr w:type="spellEnd"/>
            <w:r>
              <w:t>, endurvinnanlegum eða niðurbrjótanlegum.</w:t>
            </w:r>
          </w:p>
          <w:p w:rsidR="00676680" w:rsidRDefault="00A837E4">
            <w:pPr>
              <w:pStyle w:val="ListParagraph"/>
              <w:numPr>
                <w:ilvl w:val="0"/>
                <w:numId w:val="15"/>
              </w:numPr>
            </w:pPr>
            <w:r>
              <w:t xml:space="preserve">Velja hljóðlátar og sparneytnar vélar með lítið mengandi útblæstri sem og vistvænna eldsneyti. </w:t>
            </w:r>
          </w:p>
          <w:p w:rsidR="00676680" w:rsidRDefault="00A837E4">
            <w:pPr>
              <w:pStyle w:val="ListParagraph"/>
              <w:numPr>
                <w:ilvl w:val="0"/>
                <w:numId w:val="15"/>
              </w:numPr>
            </w:pPr>
            <w:r>
              <w:t xml:space="preserve">Notkun á auðniðurbrjótanlegum smurolíum eða olíum sem safnast ekki upp í fæðukeðjunni eða endurnýjuðum (e. </w:t>
            </w:r>
            <w:proofErr w:type="spellStart"/>
            <w:r>
              <w:t>Regenerated</w:t>
            </w:r>
            <w:proofErr w:type="spellEnd"/>
            <w:r>
              <w:t xml:space="preserve"> </w:t>
            </w:r>
            <w:proofErr w:type="spellStart"/>
            <w:r>
              <w:t>oils</w:t>
            </w:r>
            <w:proofErr w:type="spellEnd"/>
            <w:r>
              <w:t>) olíum á garðvélarnar.</w:t>
            </w:r>
          </w:p>
          <w:p w:rsidR="00676680" w:rsidRDefault="00A837E4">
            <w:pPr>
              <w:pStyle w:val="ListParagraph"/>
              <w:numPr>
                <w:ilvl w:val="0"/>
                <w:numId w:val="15"/>
              </w:numPr>
            </w:pPr>
            <w:r>
              <w:t>Þjálfa starfsmenn.</w:t>
            </w:r>
          </w:p>
          <w:p w:rsidR="00676680" w:rsidRDefault="00A837E4">
            <w:pPr>
              <w:pStyle w:val="ListParagraph"/>
              <w:numPr>
                <w:ilvl w:val="0"/>
                <w:numId w:val="15"/>
              </w:numPr>
            </w:pPr>
            <w:r>
              <w:t>Bregðast við ágengum plöntum og dýrum.</w:t>
            </w:r>
          </w:p>
        </w:tc>
      </w:tr>
    </w:tbl>
    <w:p w:rsidR="00676680" w:rsidRDefault="00676680">
      <w:pPr>
        <w:spacing w:after="200"/>
      </w:pPr>
    </w:p>
    <w:p w:rsidR="00676680" w:rsidRDefault="00A837E4">
      <w:pPr>
        <w:spacing w:after="200"/>
        <w:rPr>
          <w:rFonts w:eastAsiaTheme="majorEastAsia" w:cstheme="majorBidi"/>
          <w:b/>
          <w:bCs/>
          <w:smallCaps/>
          <w:sz w:val="32"/>
          <w:szCs w:val="28"/>
        </w:rPr>
      </w:pPr>
      <w:r>
        <w:br w:type="page"/>
      </w:r>
    </w:p>
    <w:p w:rsidR="00676680" w:rsidRDefault="00A837E4">
      <w:pPr>
        <w:pStyle w:val="Heading1"/>
      </w:pPr>
      <w:r>
        <w:lastRenderedPageBreak/>
        <w:t>Garðplöntur</w:t>
      </w:r>
    </w:p>
    <w:tbl>
      <w:tblPr>
        <w:tblStyle w:val="TableGrid1"/>
        <w:tblW w:w="14000" w:type="dxa"/>
        <w:tblLayout w:type="fixed"/>
        <w:tblLook w:val="04A0" w:firstRow="1" w:lastRow="0" w:firstColumn="1" w:lastColumn="0" w:noHBand="0" w:noVBand="1"/>
      </w:tblPr>
      <w:tblGrid>
        <w:gridCol w:w="7054"/>
        <w:gridCol w:w="6946"/>
      </w:tblGrid>
      <w:tr w:rsidR="00676680">
        <w:tc>
          <w:tcPr>
            <w:tcW w:w="7054" w:type="dxa"/>
            <w:shd w:val="clear" w:color="auto" w:fill="FFFF00"/>
          </w:tcPr>
          <w:p w:rsidR="00676680" w:rsidRDefault="00A837E4">
            <w:pPr>
              <w:pStyle w:val="Titill"/>
            </w:pPr>
            <w:r>
              <w:t>Grunnviðmið</w:t>
            </w:r>
          </w:p>
        </w:tc>
        <w:tc>
          <w:tcPr>
            <w:tcW w:w="6946" w:type="dxa"/>
            <w:shd w:val="clear" w:color="auto" w:fill="FFFF00"/>
          </w:tcPr>
          <w:p w:rsidR="00676680" w:rsidRDefault="00A837E4">
            <w:pPr>
              <w:spacing w:before="120"/>
              <w:rPr>
                <w:b/>
                <w:smallCaps/>
                <w:sz w:val="36"/>
                <w:szCs w:val="36"/>
              </w:rPr>
            </w:pPr>
            <w:r>
              <w:rPr>
                <w:b/>
                <w:smallCaps/>
                <w:sz w:val="36"/>
                <w:szCs w:val="36"/>
              </w:rPr>
              <w:t>Ítarviðmið</w:t>
            </w:r>
          </w:p>
        </w:tc>
      </w:tr>
      <w:tr w:rsidR="00676680">
        <w:tc>
          <w:tcPr>
            <w:tcW w:w="7054" w:type="dxa"/>
            <w:shd w:val="clear" w:color="auto" w:fill="92D050"/>
          </w:tcPr>
          <w:p w:rsidR="00676680" w:rsidRDefault="00A837E4">
            <w:pPr>
              <w:spacing w:line="276" w:lineRule="auto"/>
              <w:rPr>
                <w:b/>
              </w:rPr>
            </w:pPr>
            <w:r>
              <w:rPr>
                <w:b/>
              </w:rPr>
              <w:t>LÁGMARKSSKILYRÐI</w:t>
            </w:r>
          </w:p>
        </w:tc>
        <w:tc>
          <w:tcPr>
            <w:tcW w:w="6946" w:type="dxa"/>
            <w:shd w:val="clear" w:color="auto" w:fill="92D050"/>
          </w:tcPr>
          <w:p w:rsidR="00676680" w:rsidRDefault="00A837E4">
            <w:pPr>
              <w:spacing w:line="276" w:lineRule="auto"/>
              <w:rPr>
                <w:b/>
              </w:rPr>
            </w:pPr>
            <w:r>
              <w:rPr>
                <w:b/>
              </w:rPr>
              <w:t>LÁGMARKSSKILYRÐI</w:t>
            </w:r>
          </w:p>
        </w:tc>
      </w:tr>
      <w:tr w:rsidR="00676680">
        <w:tc>
          <w:tcPr>
            <w:tcW w:w="7054" w:type="dxa"/>
          </w:tcPr>
          <w:p w:rsidR="00676680" w:rsidRDefault="00A837E4">
            <w:pPr>
              <w:rPr>
                <w:b/>
              </w:rPr>
            </w:pPr>
            <w:r>
              <w:rPr>
                <w:b/>
              </w:rPr>
              <w:t>1. Einkenni garðplantna</w:t>
            </w:r>
          </w:p>
          <w:p w:rsidR="00676680" w:rsidRDefault="00A837E4">
            <w:r>
              <w:t xml:space="preserve">Að lágmarki [X]% garðplantna skulu vera tegundir sem henta vaxtarskilyrðum staðarins (t.d. sýrustig jarðvegs, meðaltalsúrkomu og hitafar). </w:t>
            </w:r>
          </w:p>
          <w:p w:rsidR="00676680" w:rsidRDefault="00A837E4">
            <w:r>
              <w:rPr>
                <w:b/>
              </w:rPr>
              <w:t>Staðfesting</w:t>
            </w:r>
            <w:r>
              <w:t>: Bjóðandi skal leggja fram lista yfir allar plöntutegundir sem áætlað er að nota, ásamt verði og fjölda plantna.</w:t>
            </w:r>
          </w:p>
        </w:tc>
        <w:tc>
          <w:tcPr>
            <w:tcW w:w="6946" w:type="dxa"/>
          </w:tcPr>
          <w:p w:rsidR="00676680" w:rsidRDefault="00A837E4">
            <w:pPr>
              <w:rPr>
                <w:b/>
              </w:rPr>
            </w:pPr>
            <w:r>
              <w:rPr>
                <w:b/>
              </w:rPr>
              <w:t xml:space="preserve">1. Einkenni garðplantna </w:t>
            </w:r>
          </w:p>
          <w:p w:rsidR="00676680" w:rsidRDefault="00A837E4">
            <w:r>
              <w:t xml:space="preserve">Að lágmarki [X]% garðplantna skulu vera tegundir sem henta vaxtarskilyrðum staðarins (t.d. sýrustig jarðvegs, meðaltalsúrkomu og hitafar). </w:t>
            </w:r>
          </w:p>
          <w:p w:rsidR="00676680" w:rsidRDefault="00A837E4">
            <w:r>
              <w:rPr>
                <w:b/>
              </w:rPr>
              <w:t>Staðfesting</w:t>
            </w:r>
            <w:r>
              <w:t>: Bjóðandi skal leggja fram lista yfir allar plöntutegundir sem áætlað er að nota, ásamt verði og fjölda plantna.</w:t>
            </w:r>
          </w:p>
        </w:tc>
      </w:tr>
      <w:tr w:rsidR="00676680">
        <w:tc>
          <w:tcPr>
            <w:tcW w:w="7054" w:type="dxa"/>
          </w:tcPr>
          <w:p w:rsidR="00676680" w:rsidRDefault="00676680"/>
        </w:tc>
        <w:tc>
          <w:tcPr>
            <w:tcW w:w="6946" w:type="dxa"/>
          </w:tcPr>
          <w:p w:rsidR="00676680" w:rsidRDefault="00A837E4">
            <w:pPr>
              <w:rPr>
                <w:b/>
              </w:rPr>
            </w:pPr>
            <w:r>
              <w:rPr>
                <w:b/>
              </w:rPr>
              <w:t>2. Lífrænt ræktaðar</w:t>
            </w:r>
          </w:p>
          <w:p w:rsidR="00676680" w:rsidRDefault="00A837E4">
            <w:r>
              <w:t xml:space="preserve">Að lágmarki [Y]% garðplantna skulu vera lífrænt ræktaðar samkvæmt reglugerð (EC) </w:t>
            </w:r>
            <w:proofErr w:type="spellStart"/>
            <w:r>
              <w:t>No</w:t>
            </w:r>
            <w:proofErr w:type="spellEnd"/>
            <w:r>
              <w:t xml:space="preserve"> 834/2007. </w:t>
            </w:r>
          </w:p>
          <w:p w:rsidR="00676680" w:rsidRDefault="00A837E4">
            <w:r>
              <w:rPr>
                <w:b/>
              </w:rPr>
              <w:t>Staðfesting</w:t>
            </w:r>
            <w:r>
              <w:t>: Bjóðandi skal leggja fram lista yfir allar plöntutegundir sem áætlað er að nota, ásamt verði og fjölda plantna.</w:t>
            </w:r>
          </w:p>
        </w:tc>
      </w:tr>
      <w:tr w:rsidR="00676680">
        <w:tc>
          <w:tcPr>
            <w:tcW w:w="7054" w:type="dxa"/>
          </w:tcPr>
          <w:p w:rsidR="00676680" w:rsidRDefault="00676680"/>
        </w:tc>
        <w:tc>
          <w:tcPr>
            <w:tcW w:w="6946" w:type="dxa"/>
          </w:tcPr>
          <w:p w:rsidR="00676680" w:rsidRDefault="00A837E4">
            <w:pPr>
              <w:rPr>
                <w:b/>
              </w:rPr>
            </w:pPr>
            <w:r>
              <w:rPr>
                <w:b/>
              </w:rPr>
              <w:t>3. Plöntuílát</w:t>
            </w:r>
          </w:p>
          <w:p w:rsidR="00676680" w:rsidRDefault="00A837E4">
            <w:r>
              <w:t>Plöntur skulu koma í endurnýtanlegum eða niðurbrjótanlegum ílátum. Ef ílátin eru endurnýtanleg, skal fyrirtækið taka ílátin til baka eftir að plantað hefur verið út. Ef ílátin eru niðurbrjótanleg þá skulu þau:</w:t>
            </w:r>
          </w:p>
          <w:p w:rsidR="00676680" w:rsidRDefault="00A837E4">
            <w:pPr>
              <w:pStyle w:val="ListParagraph"/>
              <w:numPr>
                <w:ilvl w:val="0"/>
                <w:numId w:val="32"/>
              </w:numPr>
            </w:pPr>
            <w:r>
              <w:t>vera gerð úr 100% niðurbrjótanlegum (</w:t>
            </w:r>
            <w:proofErr w:type="spellStart"/>
            <w:r>
              <w:t>jarðgeranlegum</w:t>
            </w:r>
            <w:proofErr w:type="spellEnd"/>
            <w:r>
              <w:t>) efnum, svo sem hálmi, korki, maíssterkju,trémassa</w:t>
            </w:r>
          </w:p>
          <w:p w:rsidR="00676680" w:rsidRDefault="00A837E4">
            <w:pPr>
              <w:pStyle w:val="ListParagraph"/>
              <w:numPr>
                <w:ilvl w:val="0"/>
                <w:numId w:val="32"/>
              </w:numPr>
            </w:pPr>
            <w:r>
              <w:t xml:space="preserve">ekki innihalda gervi-/plastefni, mýkingarefni, </w:t>
            </w:r>
            <w:proofErr w:type="spellStart"/>
            <w:r>
              <w:t>sæfiefni</w:t>
            </w:r>
            <w:proofErr w:type="spellEnd"/>
            <w:r>
              <w:t xml:space="preserve"> sem er að finna t.d. í </w:t>
            </w:r>
            <w:proofErr w:type="spellStart"/>
            <w:r>
              <w:t>sæfiefnum</w:t>
            </w:r>
            <w:proofErr w:type="spellEnd"/>
            <w:r>
              <w:t xml:space="preserve"> eða rotvarnarefnum</w:t>
            </w:r>
          </w:p>
          <w:p w:rsidR="00676680" w:rsidRDefault="00A837E4">
            <w:r>
              <w:rPr>
                <w:b/>
              </w:rPr>
              <w:t>Staðfesting</w:t>
            </w:r>
            <w:r>
              <w:t xml:space="preserve">: Séu ílát endurnýtt skal bjóðandi leggja fram skriflega </w:t>
            </w:r>
            <w:r>
              <w:lastRenderedPageBreak/>
              <w:t xml:space="preserve">yfirlýsingu um að séð verði til þess að starfsmenn þjónustunnar safni og skili til endurnotkunar ílátunum. Séu ílát niðurbrjótanleg, skal bjóðandi útvega yfirlit yfir innihald vörunnar og </w:t>
            </w:r>
            <w:proofErr w:type="spellStart"/>
            <w:r>
              <w:t>hlufall</w:t>
            </w:r>
            <w:proofErr w:type="spellEnd"/>
            <w:r>
              <w:t xml:space="preserve"> efna ásamt yfirlýsingu um að kröfur séu uppfylltar. Kaupandi þarf á eigin kostnað að taka tillit til viðeigandi skjala, t.d. evrópskra og íslenskra staðla, til að ganga úr skugga um að ílát séu niðurbrjótanleg með hliðsjón af lista yfir innihaldsefni sem bjóðandi útvegar. Ílát sem merkt eru umhverfismerki (Tegund I) og uppfylla ofangreindar kröfur uppfylla </w:t>
            </w:r>
            <w:proofErr w:type="spellStart"/>
            <w:r>
              <w:t>skilyrðiðásamt</w:t>
            </w:r>
            <w:proofErr w:type="spellEnd"/>
            <w:r>
              <w:t xml:space="preserve"> vörum sem flokkaðar eru sem niðurbrjótanlegar og </w:t>
            </w:r>
            <w:proofErr w:type="spellStart"/>
            <w:r>
              <w:t>jarðgeranlegar</w:t>
            </w:r>
            <w:proofErr w:type="spellEnd"/>
            <w:r>
              <w:t xml:space="preserve"> samkvæmt staðlinum EN 13432:2000 eða jafngilt. Önnur viðeigandi sönnunargögn eru einnig samþykkt.</w:t>
            </w:r>
          </w:p>
        </w:tc>
      </w:tr>
      <w:tr w:rsidR="00676680">
        <w:tc>
          <w:tcPr>
            <w:tcW w:w="7054" w:type="dxa"/>
          </w:tcPr>
          <w:p w:rsidR="00676680" w:rsidRDefault="00676680"/>
        </w:tc>
        <w:tc>
          <w:tcPr>
            <w:tcW w:w="6946" w:type="dxa"/>
          </w:tcPr>
          <w:p w:rsidR="00676680" w:rsidRDefault="00A837E4">
            <w:pPr>
              <w:rPr>
                <w:b/>
              </w:rPr>
            </w:pPr>
            <w:r>
              <w:rPr>
                <w:b/>
              </w:rPr>
              <w:t>4. Umbúðir</w:t>
            </w:r>
          </w:p>
          <w:p w:rsidR="00676680" w:rsidRDefault="00A837E4">
            <w:r>
              <w:t xml:space="preserve">Litlar plöntur skulu fluttar í endurnýtanlegum kössum. </w:t>
            </w:r>
          </w:p>
          <w:p w:rsidR="00676680" w:rsidRDefault="00A837E4">
            <w:r>
              <w:rPr>
                <w:b/>
              </w:rPr>
              <w:t>Staðfesting</w:t>
            </w:r>
            <w:r>
              <w:t>:  Bjóðandi skal leggja fram undirritaða yfirlýsingu um að ofangreind krafa verði uppfyllt.</w:t>
            </w:r>
          </w:p>
        </w:tc>
      </w:tr>
    </w:tbl>
    <w:p w:rsidR="00676680" w:rsidRDefault="00676680"/>
    <w:p w:rsidR="00676680" w:rsidRDefault="00A837E4">
      <w:pPr>
        <w:spacing w:after="200"/>
      </w:pPr>
      <w:r>
        <w:br w:type="page"/>
      </w:r>
    </w:p>
    <w:p w:rsidR="00676680" w:rsidRDefault="00A837E4">
      <w:pPr>
        <w:pStyle w:val="Heading1"/>
      </w:pPr>
      <w:r>
        <w:lastRenderedPageBreak/>
        <w:t>Jarðvegsbætir</w:t>
      </w:r>
    </w:p>
    <w:tbl>
      <w:tblPr>
        <w:tblStyle w:val="TableGrid1"/>
        <w:tblW w:w="14000" w:type="dxa"/>
        <w:tblLayout w:type="fixed"/>
        <w:tblLook w:val="04A0" w:firstRow="1" w:lastRow="0" w:firstColumn="1" w:lastColumn="0" w:noHBand="0" w:noVBand="1"/>
      </w:tblPr>
      <w:tblGrid>
        <w:gridCol w:w="7054"/>
        <w:gridCol w:w="6946"/>
      </w:tblGrid>
      <w:tr w:rsidR="00676680">
        <w:tc>
          <w:tcPr>
            <w:tcW w:w="7054" w:type="dxa"/>
            <w:shd w:val="clear" w:color="auto" w:fill="FFFF00"/>
          </w:tcPr>
          <w:p w:rsidR="00676680" w:rsidRDefault="00A837E4">
            <w:pPr>
              <w:pStyle w:val="Titill"/>
            </w:pPr>
            <w:r>
              <w:t>Grunnviðmið</w:t>
            </w:r>
          </w:p>
        </w:tc>
        <w:tc>
          <w:tcPr>
            <w:tcW w:w="6946" w:type="dxa"/>
            <w:shd w:val="clear" w:color="auto" w:fill="FFFF00"/>
          </w:tcPr>
          <w:p w:rsidR="00676680" w:rsidRDefault="00A837E4">
            <w:pPr>
              <w:spacing w:before="120"/>
              <w:rPr>
                <w:b/>
                <w:smallCaps/>
                <w:sz w:val="36"/>
                <w:szCs w:val="36"/>
              </w:rPr>
            </w:pPr>
            <w:r>
              <w:rPr>
                <w:b/>
                <w:smallCaps/>
                <w:sz w:val="36"/>
                <w:szCs w:val="36"/>
              </w:rPr>
              <w:t>Ítarviðmið</w:t>
            </w:r>
          </w:p>
        </w:tc>
      </w:tr>
      <w:tr w:rsidR="00676680">
        <w:tc>
          <w:tcPr>
            <w:tcW w:w="7054" w:type="dxa"/>
            <w:shd w:val="clear" w:color="auto" w:fill="92D050"/>
          </w:tcPr>
          <w:p w:rsidR="00676680" w:rsidRDefault="00A837E4">
            <w:pPr>
              <w:spacing w:line="276" w:lineRule="auto"/>
              <w:rPr>
                <w:b/>
              </w:rPr>
            </w:pPr>
            <w:r>
              <w:rPr>
                <w:b/>
              </w:rPr>
              <w:t>LÁGMARKSSKILYRÐI</w:t>
            </w:r>
          </w:p>
        </w:tc>
        <w:tc>
          <w:tcPr>
            <w:tcW w:w="6946" w:type="dxa"/>
            <w:shd w:val="clear" w:color="auto" w:fill="92D050"/>
          </w:tcPr>
          <w:p w:rsidR="00676680" w:rsidRDefault="00A837E4">
            <w:pPr>
              <w:spacing w:line="276" w:lineRule="auto"/>
              <w:rPr>
                <w:b/>
              </w:rPr>
            </w:pPr>
            <w:r>
              <w:rPr>
                <w:b/>
              </w:rPr>
              <w:t>LÁGMARKSSKILYRÐI</w:t>
            </w:r>
          </w:p>
        </w:tc>
      </w:tr>
      <w:tr w:rsidR="00676680">
        <w:tc>
          <w:tcPr>
            <w:tcW w:w="7054" w:type="dxa"/>
          </w:tcPr>
          <w:p w:rsidR="00676680" w:rsidRDefault="00A837E4">
            <w:pPr>
              <w:rPr>
                <w:b/>
              </w:rPr>
            </w:pPr>
            <w:r>
              <w:rPr>
                <w:b/>
              </w:rPr>
              <w:t>1. Innihaldsefni</w:t>
            </w:r>
            <w:r w:rsidR="00FF76C9">
              <w:rPr>
                <w:b/>
              </w:rPr>
              <w:t xml:space="preserve"> </w:t>
            </w:r>
            <w:r>
              <w:rPr>
                <w:b/>
              </w:rPr>
              <w:t xml:space="preserve">áburðargefandi jarðvegsbætis </w:t>
            </w:r>
          </w:p>
          <w:p w:rsidR="00676680" w:rsidRDefault="00A837E4">
            <w:r>
              <w:t>Jarðvegsbætir skal ekki innihalda mó eða seyru (e.</w:t>
            </w:r>
            <w:r w:rsidR="00FF76C9">
              <w:t xml:space="preserve"> </w:t>
            </w:r>
            <w:proofErr w:type="spellStart"/>
            <w:r w:rsidR="00FF76C9">
              <w:t>S</w:t>
            </w:r>
            <w:r>
              <w:t>ewage</w:t>
            </w:r>
            <w:proofErr w:type="spellEnd"/>
            <w:r w:rsidR="00FF76C9">
              <w:t xml:space="preserve"> </w:t>
            </w:r>
            <w:proofErr w:type="spellStart"/>
            <w:r>
              <w:t>sludge</w:t>
            </w:r>
            <w:proofErr w:type="spellEnd"/>
            <w:r>
              <w:t xml:space="preserve">). </w:t>
            </w:r>
          </w:p>
          <w:p w:rsidR="00676680" w:rsidRDefault="00A837E4">
            <w:r>
              <w:rPr>
                <w:b/>
              </w:rPr>
              <w:t>Staðfesting</w:t>
            </w:r>
            <w:r>
              <w:t>: Bjóðandi skal leggja fram ítarlegt yfirlit yfir samsetningu vörunnar, uppruna lífrænu efnanna og yfirlýsingu um að ofangreindum kröfum sé mætt.Vörur sem eru umhverfismerktar (Tegund 1) og uppfylla ofangreindar kröfur teljast vera í samræmi við viðmiðin.Önnur viðeigandi sönnunargögn, t.d. tæknilýsingar framleiðanda eða prófunarskýrsla óháðs aðila, verða tekin gild.</w:t>
            </w:r>
          </w:p>
        </w:tc>
        <w:tc>
          <w:tcPr>
            <w:tcW w:w="6946" w:type="dxa"/>
          </w:tcPr>
          <w:p w:rsidR="00676680" w:rsidRDefault="00A837E4">
            <w:pPr>
              <w:rPr>
                <w:b/>
              </w:rPr>
            </w:pPr>
            <w:r>
              <w:rPr>
                <w:b/>
              </w:rPr>
              <w:t>1. Innihaldsefni</w:t>
            </w:r>
            <w:r w:rsidR="00F26F0B">
              <w:rPr>
                <w:b/>
              </w:rPr>
              <w:t xml:space="preserve"> </w:t>
            </w:r>
            <w:r>
              <w:rPr>
                <w:b/>
              </w:rPr>
              <w:t xml:space="preserve">áburðargefandi jarðvegsbætis </w:t>
            </w:r>
          </w:p>
          <w:p w:rsidR="00676680" w:rsidRDefault="00A837E4">
            <w:r>
              <w:t xml:space="preserve">1.1. Jarðvegsbætir skal ekki innihalda mó eða seyru (e. </w:t>
            </w:r>
            <w:proofErr w:type="spellStart"/>
            <w:r w:rsidR="00F26F0B">
              <w:t>S</w:t>
            </w:r>
            <w:r>
              <w:t>ewage</w:t>
            </w:r>
            <w:proofErr w:type="spellEnd"/>
            <w:r w:rsidR="00F26F0B">
              <w:t xml:space="preserve"> </w:t>
            </w:r>
            <w:proofErr w:type="spellStart"/>
            <w:r>
              <w:t>sludge</w:t>
            </w:r>
            <w:proofErr w:type="spellEnd"/>
            <w:r>
              <w:t xml:space="preserve">). </w:t>
            </w:r>
          </w:p>
          <w:p w:rsidR="00676680" w:rsidRDefault="00A837E4">
            <w:r>
              <w:t>1.2. Lífræn efni í jarðvegsbætinum skulu vera upprunnin frá meðhöndluðum</w:t>
            </w:r>
            <w:r w:rsidR="00F26F0B">
              <w:t xml:space="preserve"> </w:t>
            </w:r>
            <w:r>
              <w:t xml:space="preserve">úrgangi og/eða endurnotkun (samkvæmt skilgreiningu tilskipun 2006/12/EC 5. apríl2006 um úrgang ásamt viðauka I). </w:t>
            </w:r>
          </w:p>
          <w:p w:rsidR="00676680" w:rsidRDefault="00A837E4">
            <w:r>
              <w:t xml:space="preserve">1.3. Eðja (ekki skólp) er eingöngu leyfð í jarðvegsbætinum ef hún er upprunnin frá einhverjum af eftirfarandi úrgangsflokkum samkvæmt úrgangslista Evrópusambandsins (samkvæmt skilgreiningu framkvæmdastjórar 2001/118/EC 16. janúar 2001 um breytingu á 2000/532/EC að því er varðar úrgangslistann,og þegar viðkomandi úrgangsflokkar hafa ekki blandast við frárennsli eða eðju utan við framleiðsluferlið): </w:t>
            </w:r>
          </w:p>
          <w:p w:rsidR="00676680" w:rsidRDefault="00A837E4">
            <w:pPr>
              <w:pStyle w:val="ListParagraph"/>
              <w:numPr>
                <w:ilvl w:val="0"/>
                <w:numId w:val="16"/>
              </w:numPr>
            </w:pPr>
            <w:r>
              <w:t>020305 eðja úr afrennsli frá meðhöndlun á ávöxtum, grænmeti, korni, matarolíum, kakói, kaffi, tei og tóbaki;niðursuða; gerjun og gersafaframleiðsla, sírópsgerð, undirbúningur og gerjun.</w:t>
            </w:r>
          </w:p>
          <w:p w:rsidR="00676680" w:rsidRDefault="00A837E4">
            <w:pPr>
              <w:pStyle w:val="ListParagraph"/>
              <w:numPr>
                <w:ilvl w:val="0"/>
                <w:numId w:val="16"/>
              </w:numPr>
            </w:pPr>
            <w:r>
              <w:t>020403 eðja frá afrennsli við sykurframleiðslu</w:t>
            </w:r>
          </w:p>
          <w:p w:rsidR="00676680" w:rsidRDefault="00A837E4">
            <w:pPr>
              <w:pStyle w:val="ListParagraph"/>
              <w:numPr>
                <w:ilvl w:val="0"/>
                <w:numId w:val="16"/>
              </w:numPr>
            </w:pPr>
            <w:r>
              <w:t xml:space="preserve">020502 eðja frá afrennsli </w:t>
            </w:r>
            <w:proofErr w:type="spellStart"/>
            <w:r>
              <w:t>mjólkuvöruiðnaðar</w:t>
            </w:r>
            <w:proofErr w:type="spellEnd"/>
          </w:p>
          <w:p w:rsidR="00676680" w:rsidRDefault="00A837E4">
            <w:pPr>
              <w:pStyle w:val="ListParagraph"/>
              <w:numPr>
                <w:ilvl w:val="0"/>
                <w:numId w:val="16"/>
              </w:numPr>
            </w:pPr>
            <w:r>
              <w:t>020603 eðja frá afrennsli sælgætisgerðar og baksturs</w:t>
            </w:r>
          </w:p>
          <w:p w:rsidR="00676680" w:rsidRDefault="00A837E4">
            <w:pPr>
              <w:pStyle w:val="ListParagraph"/>
              <w:numPr>
                <w:ilvl w:val="0"/>
                <w:numId w:val="16"/>
              </w:numPr>
            </w:pPr>
            <w:r>
              <w:t xml:space="preserve">020705 eðja frá afrennsli við framleiðslu á áfengum og </w:t>
            </w:r>
            <w:r>
              <w:lastRenderedPageBreak/>
              <w:t xml:space="preserve">óáfengum drykkjum (ekki kaffi, te og kakó) </w:t>
            </w:r>
          </w:p>
          <w:p w:rsidR="00676680" w:rsidRDefault="00A837E4">
            <w:r>
              <w:rPr>
                <w:b/>
              </w:rPr>
              <w:t>Staðfesting</w:t>
            </w:r>
            <w:r>
              <w:t>: Bjóðandi skal leggja fram ítarlegt yfirlit yfir samsetningu vörunnar, uppruna lífrænu efnanna og yfirlýsingu um að ofangreindum kröfum sé mætt. Vörur sem eru umhverfismerktar (Tegund 1) og uppfylla ofangreindar kröfur teljast vera í samræmi við viðmiðin. Önnur viðeigandi sönnunargögn, t.d. tæknilýsingar framleiðanda eða prófunarskýrsla óháðs aðila, verða tekin gild.</w:t>
            </w:r>
          </w:p>
        </w:tc>
      </w:tr>
      <w:tr w:rsidR="00676680">
        <w:tc>
          <w:tcPr>
            <w:tcW w:w="7054" w:type="dxa"/>
          </w:tcPr>
          <w:p w:rsidR="00676680" w:rsidRDefault="00676680"/>
        </w:tc>
        <w:tc>
          <w:tcPr>
            <w:tcW w:w="6946" w:type="dxa"/>
          </w:tcPr>
          <w:p w:rsidR="00676680" w:rsidRDefault="00A837E4">
            <w:r>
              <w:rPr>
                <w:b/>
              </w:rPr>
              <w:t>2. Hættuleg efni í áburðargefandi jarðvegsbæti</w:t>
            </w:r>
          </w:p>
          <w:p w:rsidR="00676680" w:rsidRDefault="00A837E4">
            <w:r>
              <w:t xml:space="preserve">Hámarksstyrkur þungmálma í úrganginum fyrir meðhöndlun úrgangs (mg/kg þurrvigt) skal uppfylla neðangreindar kröfur um hættuleg efni. Hámarksstyrkur þungmálmaí lokaafurð jarðvegsbætis skal vera lægri en hér segir: </w:t>
            </w:r>
          </w:p>
          <w:tbl>
            <w:tblPr>
              <w:tblStyle w:val="TableGrid"/>
              <w:tblW w:w="0" w:type="auto"/>
              <w:tblLayout w:type="fixed"/>
              <w:tblLook w:val="04A0" w:firstRow="1" w:lastRow="0" w:firstColumn="1" w:lastColumn="0" w:noHBand="0" w:noVBand="1"/>
            </w:tblPr>
            <w:tblGrid>
              <w:gridCol w:w="1343"/>
              <w:gridCol w:w="1343"/>
              <w:gridCol w:w="1343"/>
              <w:gridCol w:w="1343"/>
              <w:gridCol w:w="1343"/>
            </w:tblGrid>
            <w:tr w:rsidR="00676680">
              <w:tc>
                <w:tcPr>
                  <w:tcW w:w="1343" w:type="dxa"/>
                </w:tcPr>
                <w:p w:rsidR="00676680" w:rsidRDefault="00A837E4">
                  <w:pPr>
                    <w:rPr>
                      <w:b/>
                    </w:rPr>
                  </w:pPr>
                  <w:r>
                    <w:rPr>
                      <w:b/>
                    </w:rPr>
                    <w:t>Frumefni</w:t>
                  </w:r>
                </w:p>
              </w:tc>
              <w:tc>
                <w:tcPr>
                  <w:tcW w:w="1343" w:type="dxa"/>
                </w:tcPr>
                <w:p w:rsidR="00676680" w:rsidRDefault="00A837E4">
                  <w:pPr>
                    <w:rPr>
                      <w:b/>
                    </w:rPr>
                  </w:pPr>
                  <w:r>
                    <w:rPr>
                      <w:b/>
                    </w:rPr>
                    <w:t>mg/kg</w:t>
                  </w:r>
                  <w:r>
                    <w:rPr>
                      <w:b/>
                    </w:rPr>
                    <w:br/>
                    <w:t>(þurrvigt)</w:t>
                  </w:r>
                </w:p>
              </w:tc>
              <w:tc>
                <w:tcPr>
                  <w:tcW w:w="1343" w:type="dxa"/>
                  <w:vMerge w:val="restart"/>
                </w:tcPr>
                <w:p w:rsidR="00676680" w:rsidRDefault="00676680">
                  <w:pPr>
                    <w:rPr>
                      <w:b/>
                    </w:rPr>
                  </w:pPr>
                </w:p>
              </w:tc>
              <w:tc>
                <w:tcPr>
                  <w:tcW w:w="1343" w:type="dxa"/>
                </w:tcPr>
                <w:p w:rsidR="00676680" w:rsidRDefault="00A837E4">
                  <w:pPr>
                    <w:rPr>
                      <w:b/>
                    </w:rPr>
                  </w:pPr>
                  <w:r>
                    <w:rPr>
                      <w:b/>
                    </w:rPr>
                    <w:t>Frumefni</w:t>
                  </w:r>
                </w:p>
              </w:tc>
              <w:tc>
                <w:tcPr>
                  <w:tcW w:w="1343" w:type="dxa"/>
                </w:tcPr>
                <w:p w:rsidR="00676680" w:rsidRDefault="00A837E4">
                  <w:pPr>
                    <w:rPr>
                      <w:b/>
                    </w:rPr>
                  </w:pPr>
                  <w:r>
                    <w:rPr>
                      <w:b/>
                    </w:rPr>
                    <w:t xml:space="preserve">mg/kg (þurrvigt) </w:t>
                  </w:r>
                </w:p>
              </w:tc>
            </w:tr>
            <w:tr w:rsidR="00676680">
              <w:tc>
                <w:tcPr>
                  <w:tcW w:w="1343" w:type="dxa"/>
                </w:tcPr>
                <w:p w:rsidR="00676680" w:rsidRDefault="00A837E4">
                  <w:proofErr w:type="spellStart"/>
                  <w:r>
                    <w:t>Zn</w:t>
                  </w:r>
                  <w:proofErr w:type="spellEnd"/>
                </w:p>
              </w:tc>
              <w:tc>
                <w:tcPr>
                  <w:tcW w:w="1343" w:type="dxa"/>
                </w:tcPr>
                <w:p w:rsidR="00676680" w:rsidRDefault="00A837E4">
                  <w:r>
                    <w:t>300</w:t>
                  </w:r>
                </w:p>
              </w:tc>
              <w:tc>
                <w:tcPr>
                  <w:tcW w:w="1343" w:type="dxa"/>
                  <w:vMerge/>
                </w:tcPr>
                <w:p w:rsidR="00676680" w:rsidRDefault="00676680"/>
              </w:tc>
              <w:tc>
                <w:tcPr>
                  <w:tcW w:w="1343" w:type="dxa"/>
                </w:tcPr>
                <w:p w:rsidR="00676680" w:rsidRDefault="00A837E4">
                  <w:proofErr w:type="spellStart"/>
                  <w:r>
                    <w:t>Cr</w:t>
                  </w:r>
                  <w:proofErr w:type="spellEnd"/>
                </w:p>
              </w:tc>
              <w:tc>
                <w:tcPr>
                  <w:tcW w:w="1343" w:type="dxa"/>
                </w:tcPr>
                <w:p w:rsidR="00676680" w:rsidRDefault="00A837E4">
                  <w:r>
                    <w:t>100</w:t>
                  </w:r>
                </w:p>
              </w:tc>
            </w:tr>
            <w:tr w:rsidR="00676680">
              <w:tc>
                <w:tcPr>
                  <w:tcW w:w="1343" w:type="dxa"/>
                </w:tcPr>
                <w:p w:rsidR="00676680" w:rsidRDefault="00A837E4">
                  <w:proofErr w:type="spellStart"/>
                  <w:r>
                    <w:t>Cu</w:t>
                  </w:r>
                  <w:proofErr w:type="spellEnd"/>
                </w:p>
              </w:tc>
              <w:tc>
                <w:tcPr>
                  <w:tcW w:w="1343" w:type="dxa"/>
                </w:tcPr>
                <w:p w:rsidR="00676680" w:rsidRDefault="00A837E4">
                  <w:r>
                    <w:t>100</w:t>
                  </w:r>
                </w:p>
              </w:tc>
              <w:tc>
                <w:tcPr>
                  <w:tcW w:w="1343" w:type="dxa"/>
                  <w:vMerge/>
                </w:tcPr>
                <w:p w:rsidR="00676680" w:rsidRDefault="00676680"/>
              </w:tc>
              <w:tc>
                <w:tcPr>
                  <w:tcW w:w="1343" w:type="dxa"/>
                </w:tcPr>
                <w:p w:rsidR="00676680" w:rsidRDefault="00A837E4">
                  <w:proofErr w:type="spellStart"/>
                  <w:r>
                    <w:t>Mo</w:t>
                  </w:r>
                  <w:proofErr w:type="spellEnd"/>
                  <w:r>
                    <w:t xml:space="preserve"> (*)</w:t>
                  </w:r>
                </w:p>
              </w:tc>
              <w:tc>
                <w:tcPr>
                  <w:tcW w:w="1343" w:type="dxa"/>
                </w:tcPr>
                <w:p w:rsidR="00676680" w:rsidRDefault="00A837E4">
                  <w:r>
                    <w:t>2</w:t>
                  </w:r>
                </w:p>
              </w:tc>
            </w:tr>
            <w:tr w:rsidR="00676680">
              <w:tc>
                <w:tcPr>
                  <w:tcW w:w="1343" w:type="dxa"/>
                </w:tcPr>
                <w:p w:rsidR="00676680" w:rsidRDefault="00A837E4">
                  <w:proofErr w:type="spellStart"/>
                  <w:r>
                    <w:t>Ni</w:t>
                  </w:r>
                  <w:proofErr w:type="spellEnd"/>
                </w:p>
              </w:tc>
              <w:tc>
                <w:tcPr>
                  <w:tcW w:w="1343" w:type="dxa"/>
                </w:tcPr>
                <w:p w:rsidR="00676680" w:rsidRDefault="00A837E4">
                  <w:r>
                    <w:t>50</w:t>
                  </w:r>
                </w:p>
              </w:tc>
              <w:tc>
                <w:tcPr>
                  <w:tcW w:w="1343" w:type="dxa"/>
                  <w:vMerge/>
                </w:tcPr>
                <w:p w:rsidR="00676680" w:rsidRDefault="00676680"/>
              </w:tc>
              <w:tc>
                <w:tcPr>
                  <w:tcW w:w="1343" w:type="dxa"/>
                </w:tcPr>
                <w:p w:rsidR="00676680" w:rsidRDefault="00A837E4">
                  <w:proofErr w:type="spellStart"/>
                  <w:r>
                    <w:t>Se</w:t>
                  </w:r>
                  <w:proofErr w:type="spellEnd"/>
                  <w:r>
                    <w:t xml:space="preserve"> (*)</w:t>
                  </w:r>
                </w:p>
              </w:tc>
              <w:tc>
                <w:tcPr>
                  <w:tcW w:w="1343" w:type="dxa"/>
                </w:tcPr>
                <w:p w:rsidR="00676680" w:rsidRDefault="00A837E4">
                  <w:r>
                    <w:t>1,5</w:t>
                  </w:r>
                </w:p>
              </w:tc>
            </w:tr>
            <w:tr w:rsidR="00676680">
              <w:tc>
                <w:tcPr>
                  <w:tcW w:w="1343" w:type="dxa"/>
                </w:tcPr>
                <w:p w:rsidR="00676680" w:rsidRDefault="00A837E4">
                  <w:proofErr w:type="spellStart"/>
                  <w:r>
                    <w:t>Cd</w:t>
                  </w:r>
                  <w:proofErr w:type="spellEnd"/>
                </w:p>
              </w:tc>
              <w:tc>
                <w:tcPr>
                  <w:tcW w:w="1343" w:type="dxa"/>
                </w:tcPr>
                <w:p w:rsidR="00676680" w:rsidRDefault="00A837E4">
                  <w:r>
                    <w:t>1</w:t>
                  </w:r>
                </w:p>
              </w:tc>
              <w:tc>
                <w:tcPr>
                  <w:tcW w:w="1343" w:type="dxa"/>
                  <w:vMerge/>
                </w:tcPr>
                <w:p w:rsidR="00676680" w:rsidRDefault="00676680"/>
              </w:tc>
              <w:tc>
                <w:tcPr>
                  <w:tcW w:w="1343" w:type="dxa"/>
                </w:tcPr>
                <w:p w:rsidR="00676680" w:rsidRDefault="00A837E4">
                  <w:proofErr w:type="spellStart"/>
                  <w:r>
                    <w:t>As</w:t>
                  </w:r>
                  <w:proofErr w:type="spellEnd"/>
                  <w:r>
                    <w:t xml:space="preserve"> (*)</w:t>
                  </w:r>
                </w:p>
              </w:tc>
              <w:tc>
                <w:tcPr>
                  <w:tcW w:w="1343" w:type="dxa"/>
                </w:tcPr>
                <w:p w:rsidR="00676680" w:rsidRDefault="00A837E4">
                  <w:r>
                    <w:t>10</w:t>
                  </w:r>
                </w:p>
              </w:tc>
            </w:tr>
            <w:tr w:rsidR="00676680">
              <w:tc>
                <w:tcPr>
                  <w:tcW w:w="1343" w:type="dxa"/>
                </w:tcPr>
                <w:p w:rsidR="00676680" w:rsidRDefault="00A837E4">
                  <w:proofErr w:type="spellStart"/>
                  <w:r>
                    <w:t>Pb</w:t>
                  </w:r>
                  <w:proofErr w:type="spellEnd"/>
                </w:p>
              </w:tc>
              <w:tc>
                <w:tcPr>
                  <w:tcW w:w="1343" w:type="dxa"/>
                </w:tcPr>
                <w:p w:rsidR="00676680" w:rsidRDefault="00A837E4">
                  <w:r>
                    <w:t>100</w:t>
                  </w:r>
                </w:p>
              </w:tc>
              <w:tc>
                <w:tcPr>
                  <w:tcW w:w="1343" w:type="dxa"/>
                  <w:vMerge/>
                </w:tcPr>
                <w:p w:rsidR="00676680" w:rsidRDefault="00676680"/>
              </w:tc>
              <w:tc>
                <w:tcPr>
                  <w:tcW w:w="1343" w:type="dxa"/>
                </w:tcPr>
                <w:p w:rsidR="00676680" w:rsidRDefault="00A837E4">
                  <w:r>
                    <w:t>F (*)</w:t>
                  </w:r>
                </w:p>
              </w:tc>
              <w:tc>
                <w:tcPr>
                  <w:tcW w:w="1343" w:type="dxa"/>
                </w:tcPr>
                <w:p w:rsidR="00676680" w:rsidRDefault="00A837E4">
                  <w:r>
                    <w:t>200</w:t>
                  </w:r>
                </w:p>
              </w:tc>
            </w:tr>
            <w:tr w:rsidR="00676680">
              <w:tc>
                <w:tcPr>
                  <w:tcW w:w="1343" w:type="dxa"/>
                </w:tcPr>
                <w:p w:rsidR="00676680" w:rsidRDefault="00A837E4">
                  <w:proofErr w:type="spellStart"/>
                  <w:r>
                    <w:t>Hg</w:t>
                  </w:r>
                  <w:proofErr w:type="spellEnd"/>
                </w:p>
              </w:tc>
              <w:tc>
                <w:tcPr>
                  <w:tcW w:w="1343" w:type="dxa"/>
                </w:tcPr>
                <w:p w:rsidR="00676680" w:rsidRDefault="00A837E4">
                  <w:r>
                    <w:t>1</w:t>
                  </w:r>
                </w:p>
              </w:tc>
              <w:tc>
                <w:tcPr>
                  <w:tcW w:w="1343" w:type="dxa"/>
                  <w:vMerge/>
                </w:tcPr>
                <w:p w:rsidR="00676680" w:rsidRDefault="00676680"/>
              </w:tc>
              <w:tc>
                <w:tcPr>
                  <w:tcW w:w="1343" w:type="dxa"/>
                </w:tcPr>
                <w:p w:rsidR="00676680" w:rsidRDefault="00676680"/>
              </w:tc>
              <w:tc>
                <w:tcPr>
                  <w:tcW w:w="1343" w:type="dxa"/>
                </w:tcPr>
                <w:p w:rsidR="00676680" w:rsidRDefault="00676680"/>
              </w:tc>
            </w:tr>
            <w:tr w:rsidR="00676680">
              <w:tc>
                <w:tcPr>
                  <w:tcW w:w="6715" w:type="dxa"/>
                  <w:gridSpan w:val="5"/>
                </w:tcPr>
                <w:p w:rsidR="00676680" w:rsidRDefault="00A837E4">
                  <w:r>
                    <w:t>(*)Aðeins þarf að sýna gögn varðandi þessi efni þegar um iðnaðarúrgang er að ræða.</w:t>
                  </w:r>
                </w:p>
              </w:tc>
            </w:tr>
          </w:tbl>
          <w:p w:rsidR="00676680" w:rsidRDefault="00676680"/>
          <w:p w:rsidR="00676680" w:rsidRDefault="00A837E4">
            <w:r>
              <w:rPr>
                <w:b/>
              </w:rPr>
              <w:t>Staðfesting</w:t>
            </w:r>
            <w:r>
              <w:t xml:space="preserve">: Bjóðandi skal leggja fram viðeigandi prófunarskýrslur (EN 13650, ISO 16772 eða sambærilegt) sem sýna fram á að </w:t>
            </w:r>
            <w:r>
              <w:lastRenderedPageBreak/>
              <w:t>ofangreindum kröfum er fullnægt.Vörur sem eru umhverfismerktar (Tegund 1) og uppfylla ofangreindar kröfur teljast samræmast viðmiðunum. Önnur viðeigandi sönnunargögn, t.d. tæknilýsingar framleiðanda eða prófunarskýrsla óháðs aðila, verða tekin gild.</w:t>
            </w:r>
          </w:p>
        </w:tc>
      </w:tr>
      <w:tr w:rsidR="00676680">
        <w:tc>
          <w:tcPr>
            <w:tcW w:w="7054" w:type="dxa"/>
          </w:tcPr>
          <w:p w:rsidR="00676680" w:rsidRDefault="00676680"/>
        </w:tc>
        <w:tc>
          <w:tcPr>
            <w:tcW w:w="6946" w:type="dxa"/>
          </w:tcPr>
          <w:p w:rsidR="00676680" w:rsidRDefault="00A837E4">
            <w:pPr>
              <w:rPr>
                <w:b/>
              </w:rPr>
            </w:pPr>
            <w:r>
              <w:rPr>
                <w:b/>
              </w:rPr>
              <w:t xml:space="preserve">3. Aðskotaefni í áburðargefandi jarðvegsbæti </w:t>
            </w:r>
          </w:p>
          <w:p w:rsidR="00676680" w:rsidRDefault="00A837E4">
            <w:r>
              <w:t xml:space="preserve">Í lokaafurð skulu aðskotaefni í jarðvegsbætinum, s.s. gler, málmar og plast (samanlagt) vera minni en 0,5% af þurrvigt. </w:t>
            </w:r>
          </w:p>
          <w:p w:rsidR="00676680" w:rsidRDefault="00A837E4">
            <w:r>
              <w:rPr>
                <w:b/>
              </w:rPr>
              <w:t>Staðfesting</w:t>
            </w:r>
            <w:r>
              <w:t>: Bjóðandi skal leggja fram viðeigandi prófunarskýrslur (EN 13650, ISO 16772 eða sambærilegt) sem sýna fram á að ofangreindum kröfum sé fullnægt. Vörur sem eru umhverfismerktar (Tegund 1) og uppfylla ofangreindar kröfur teljast samræmast viðmiðunum. Önnur viðeigandi sönnunargögn, t.d. tæknilýsingar framleiðanda eða prófunarskýrsla óháðs aðila, verða tekin gild.</w:t>
            </w:r>
          </w:p>
        </w:tc>
      </w:tr>
      <w:tr w:rsidR="00676680">
        <w:tc>
          <w:tcPr>
            <w:tcW w:w="7054" w:type="dxa"/>
          </w:tcPr>
          <w:p w:rsidR="00676680" w:rsidRDefault="00676680"/>
        </w:tc>
        <w:tc>
          <w:tcPr>
            <w:tcW w:w="6946" w:type="dxa"/>
          </w:tcPr>
          <w:p w:rsidR="00676680" w:rsidRDefault="00A837E4">
            <w:pPr>
              <w:rPr>
                <w:b/>
              </w:rPr>
            </w:pPr>
            <w:r>
              <w:rPr>
                <w:b/>
              </w:rPr>
              <w:t xml:space="preserve">4. Köfnunarefni (N) í áburðargefandi jarðvegsbæti </w:t>
            </w:r>
          </w:p>
          <w:p w:rsidR="00676680" w:rsidRDefault="00A837E4">
            <w:r>
              <w:t xml:space="preserve">Styrkur köfnunarefnis í vörunni skal ekki vera meiri en 3% af heildar N (af þyngd) og ólífrænt N skal ekki vera meira en 20% af heildarköfnunarefni (eða lífrænt N ≥ 80%). </w:t>
            </w:r>
          </w:p>
          <w:p w:rsidR="00676680" w:rsidRDefault="00A837E4">
            <w:r>
              <w:rPr>
                <w:b/>
              </w:rPr>
              <w:t>Staðfesting</w:t>
            </w:r>
            <w:r>
              <w:t xml:space="preserve">: Bjóðandi skal leggja fram viðeigandi prófunarskýrslur (EN 13650, ISO 16772 eða sambærilegt) sem sýna fram á að ofangreindum kröfum er fullnægt. Vörur sem eru umhverfismerktar (Tegund 1) og uppfylla ofangreindar kröfur teljast samræmast </w:t>
            </w:r>
            <w:proofErr w:type="spellStart"/>
            <w:r>
              <w:t>viðmiðunumeru</w:t>
            </w:r>
            <w:proofErr w:type="spellEnd"/>
            <w:r>
              <w:t xml:space="preserve"> fullnægjandi staðfesting. Önnur viðeigandi sönnunargögn, t.d. tæknilýsingar framleiðanda eða prófunarskýrsla óháðs aðila, verða tekin gild.</w:t>
            </w:r>
          </w:p>
        </w:tc>
      </w:tr>
      <w:tr w:rsidR="00676680">
        <w:tc>
          <w:tcPr>
            <w:tcW w:w="7054" w:type="dxa"/>
          </w:tcPr>
          <w:p w:rsidR="00676680" w:rsidRDefault="00676680"/>
        </w:tc>
        <w:tc>
          <w:tcPr>
            <w:tcW w:w="6946" w:type="dxa"/>
          </w:tcPr>
          <w:p w:rsidR="00676680" w:rsidRDefault="00A837E4">
            <w:pPr>
              <w:rPr>
                <w:b/>
              </w:rPr>
            </w:pPr>
            <w:r>
              <w:rPr>
                <w:b/>
              </w:rPr>
              <w:t>5. Virkni</w:t>
            </w:r>
            <w:r w:rsidR="00274472">
              <w:rPr>
                <w:b/>
              </w:rPr>
              <w:t xml:space="preserve"> </w:t>
            </w:r>
            <w:r>
              <w:rPr>
                <w:b/>
              </w:rPr>
              <w:t>áburðargefandi jarðvegsbætis</w:t>
            </w:r>
          </w:p>
          <w:p w:rsidR="00676680" w:rsidRDefault="00A837E4">
            <w:r>
              <w:t xml:space="preserve">Jarðvegsbætirinn skal ekki hafa neikvæð áhrif á spírun og framvindu gróðurs og innihalda að lágmarki 25% þurrefni af heildarþyngd og að </w:t>
            </w:r>
            <w:r>
              <w:lastRenderedPageBreak/>
              <w:t xml:space="preserve">lágmarki20% lífræn efni af þurrvigt. </w:t>
            </w:r>
          </w:p>
          <w:p w:rsidR="00676680" w:rsidRDefault="00A837E4">
            <w:r>
              <w:rPr>
                <w:b/>
              </w:rPr>
              <w:t>Staðfesting</w:t>
            </w:r>
            <w:r>
              <w:t xml:space="preserve">: Bjóðandi skal leggja fram viðeigandi prófunarskýrslur (EN 13650, ISO 16772 eða sambærilegt) sem sýna fram á að ofangreindum kröfum sé fullnægt. Vörur sem eru umhverfismerktar (Tegund 1) og uppfylla ofangreindar kröfur teljast samræmast </w:t>
            </w:r>
            <w:proofErr w:type="spellStart"/>
            <w:r>
              <w:t>viðmiðunumeru</w:t>
            </w:r>
            <w:proofErr w:type="spellEnd"/>
            <w:r>
              <w:t xml:space="preserve"> fullnægjandi staðfesting. Önnur viðeigandi sönnunargögn, t.d. tæknilýsingar framleiðanda eða prófunarskýrsla óháðs aðila, verða tekin gild.</w:t>
            </w:r>
          </w:p>
        </w:tc>
      </w:tr>
      <w:tr w:rsidR="00676680">
        <w:tc>
          <w:tcPr>
            <w:tcW w:w="7054" w:type="dxa"/>
          </w:tcPr>
          <w:p w:rsidR="00676680" w:rsidRDefault="00676680"/>
        </w:tc>
        <w:tc>
          <w:tcPr>
            <w:tcW w:w="6946" w:type="dxa"/>
          </w:tcPr>
          <w:p w:rsidR="00676680" w:rsidRDefault="00A837E4">
            <w:pPr>
              <w:rPr>
                <w:b/>
              </w:rPr>
            </w:pPr>
            <w:r>
              <w:rPr>
                <w:b/>
              </w:rPr>
              <w:t>6. Áhrif áburðargefandi jarðvegsbætis á heilsu og öryggi</w:t>
            </w:r>
          </w:p>
          <w:p w:rsidR="00676680" w:rsidRDefault="00A837E4">
            <w:r>
              <w:t xml:space="preserve">Í jarðvegsbætinum skal hámarksstyrkur sýkla ekki vera meiri en hér segir: </w:t>
            </w:r>
          </w:p>
          <w:p w:rsidR="00676680" w:rsidRDefault="00A837E4">
            <w:pPr>
              <w:pStyle w:val="ListParagraph"/>
              <w:numPr>
                <w:ilvl w:val="0"/>
                <w:numId w:val="17"/>
              </w:numPr>
            </w:pPr>
            <w:r>
              <w:t>Salmonella: má ekki finnast í 25 g skömmtum jarðvegsbætisins.</w:t>
            </w:r>
          </w:p>
          <w:p w:rsidR="00676680" w:rsidRDefault="00A837E4">
            <w:pPr>
              <w:pStyle w:val="ListParagraph"/>
              <w:numPr>
                <w:ilvl w:val="0"/>
                <w:numId w:val="17"/>
              </w:numPr>
            </w:pPr>
            <w:r>
              <w:t xml:space="preserve">Egg </w:t>
            </w:r>
            <w:proofErr w:type="spellStart"/>
            <w:r>
              <w:t>Helminth</w:t>
            </w:r>
            <w:proofErr w:type="spellEnd"/>
            <w:r>
              <w:t xml:space="preserve"> sníkjudýra: mega ekki finnast í 1,5 g skömmtum jarðvegsbætisins.</w:t>
            </w:r>
          </w:p>
          <w:p w:rsidR="00676680" w:rsidRDefault="00A837E4">
            <w:pPr>
              <w:pStyle w:val="ListParagraph"/>
              <w:numPr>
                <w:ilvl w:val="0"/>
                <w:numId w:val="17"/>
              </w:numPr>
            </w:pPr>
            <w:r>
              <w:t>E.</w:t>
            </w:r>
            <w:proofErr w:type="spellStart"/>
            <w:r>
              <w:t>coli</w:t>
            </w:r>
            <w:proofErr w:type="spellEnd"/>
            <w:r>
              <w:t xml:space="preserve">: &lt;1000 MPN/g (MPN: </w:t>
            </w:r>
            <w:proofErr w:type="spellStart"/>
            <w:r>
              <w:t>mostprobablenumber</w:t>
            </w:r>
            <w:proofErr w:type="spellEnd"/>
            <w:r>
              <w:t xml:space="preserve">) </w:t>
            </w:r>
          </w:p>
          <w:p w:rsidR="00676680" w:rsidRDefault="00A837E4">
            <w:r>
              <w:rPr>
                <w:b/>
              </w:rPr>
              <w:t>Staðfesting</w:t>
            </w:r>
            <w:r>
              <w:t xml:space="preserve">: Bjóðandi skal leggja fram viðeigandi prófunarskýrslur (EN 13650, ISO 16772 eða sambærilegt) sem sýna fram á að ofangreindum kröfum er fullnægt. Vörur sem eru umhverfismerktar (Tegund 1) og uppfylla ofangreindar kröfur teljast samræmast </w:t>
            </w:r>
            <w:proofErr w:type="spellStart"/>
            <w:r>
              <w:t>viðmiðunumeru</w:t>
            </w:r>
            <w:proofErr w:type="spellEnd"/>
            <w:r>
              <w:t xml:space="preserve"> fullnægjandi staðfesting. Önnur viðeigandi sönnunargögn, t.d. tæknilýsingar framleiðanda eða prófunarskýrsla óháðs aðila, verða tekin gild.</w:t>
            </w:r>
          </w:p>
        </w:tc>
      </w:tr>
    </w:tbl>
    <w:p w:rsidR="00676680" w:rsidRDefault="00676680"/>
    <w:p w:rsidR="00676680" w:rsidRDefault="00A837E4">
      <w:pPr>
        <w:spacing w:after="200"/>
      </w:pPr>
      <w:r>
        <w:br w:type="page"/>
      </w:r>
    </w:p>
    <w:p w:rsidR="00676680" w:rsidRDefault="00A837E4">
      <w:pPr>
        <w:pStyle w:val="Heading1"/>
      </w:pPr>
      <w:r>
        <w:lastRenderedPageBreak/>
        <w:t>Vökvunarkerfi</w:t>
      </w:r>
    </w:p>
    <w:tbl>
      <w:tblPr>
        <w:tblStyle w:val="TableGrid1"/>
        <w:tblW w:w="14000" w:type="dxa"/>
        <w:tblLayout w:type="fixed"/>
        <w:tblLook w:val="04A0" w:firstRow="1" w:lastRow="0" w:firstColumn="1" w:lastColumn="0" w:noHBand="0" w:noVBand="1"/>
      </w:tblPr>
      <w:tblGrid>
        <w:gridCol w:w="7054"/>
        <w:gridCol w:w="6946"/>
      </w:tblGrid>
      <w:tr w:rsidR="00676680">
        <w:tc>
          <w:tcPr>
            <w:tcW w:w="7054" w:type="dxa"/>
            <w:shd w:val="clear" w:color="auto" w:fill="FFFF00"/>
          </w:tcPr>
          <w:p w:rsidR="00676680" w:rsidRDefault="00A837E4">
            <w:pPr>
              <w:pStyle w:val="Titill"/>
            </w:pPr>
            <w:r>
              <w:t>Grunnviðmið</w:t>
            </w:r>
          </w:p>
        </w:tc>
        <w:tc>
          <w:tcPr>
            <w:tcW w:w="6946" w:type="dxa"/>
            <w:shd w:val="clear" w:color="auto" w:fill="FFFF00"/>
          </w:tcPr>
          <w:p w:rsidR="00676680" w:rsidRDefault="00A837E4">
            <w:pPr>
              <w:spacing w:before="120"/>
              <w:rPr>
                <w:b/>
                <w:smallCaps/>
                <w:sz w:val="36"/>
                <w:szCs w:val="36"/>
              </w:rPr>
            </w:pPr>
            <w:r>
              <w:rPr>
                <w:b/>
                <w:smallCaps/>
                <w:sz w:val="36"/>
                <w:szCs w:val="36"/>
              </w:rPr>
              <w:t>Ítarviðmið</w:t>
            </w:r>
          </w:p>
        </w:tc>
      </w:tr>
      <w:tr w:rsidR="00676680">
        <w:tc>
          <w:tcPr>
            <w:tcW w:w="7054" w:type="dxa"/>
            <w:shd w:val="clear" w:color="auto" w:fill="92D050"/>
          </w:tcPr>
          <w:p w:rsidR="00676680" w:rsidRDefault="00A837E4">
            <w:pPr>
              <w:spacing w:line="276" w:lineRule="auto"/>
              <w:rPr>
                <w:b/>
              </w:rPr>
            </w:pPr>
            <w:r>
              <w:rPr>
                <w:b/>
              </w:rPr>
              <w:t>LÁGMARKSSKILYRÐI</w:t>
            </w:r>
          </w:p>
        </w:tc>
        <w:tc>
          <w:tcPr>
            <w:tcW w:w="6946" w:type="dxa"/>
            <w:shd w:val="clear" w:color="auto" w:fill="92D050"/>
          </w:tcPr>
          <w:p w:rsidR="00676680" w:rsidRDefault="00A837E4">
            <w:pPr>
              <w:spacing w:line="276" w:lineRule="auto"/>
              <w:rPr>
                <w:b/>
              </w:rPr>
            </w:pPr>
            <w:r>
              <w:rPr>
                <w:b/>
              </w:rPr>
              <w:t>LÁGMARKSSKILYRÐI</w:t>
            </w:r>
          </w:p>
        </w:tc>
      </w:tr>
      <w:tr w:rsidR="00676680">
        <w:tc>
          <w:tcPr>
            <w:tcW w:w="7054" w:type="dxa"/>
          </w:tcPr>
          <w:p w:rsidR="00676680" w:rsidRDefault="00A837E4">
            <w:r>
              <w:t>1. Vatnsmagn vökvunarkerfisins skal vera stillanlegt eftir svæðum.</w:t>
            </w:r>
          </w:p>
          <w:p w:rsidR="00676680" w:rsidRDefault="00A837E4">
            <w:r>
              <w:t xml:space="preserve">2. Vökvunarkerfið skal vera búið tímastilli sem nota má til að stýra vökvunartímanum. </w:t>
            </w:r>
          </w:p>
          <w:p w:rsidR="00676680" w:rsidRDefault="00A837E4">
            <w:r>
              <w:t>3. Vökvunarkerfið skal vera útbúið rakamæli sem mælir raka í jarðvegi og getur sjálfvirkt stöðvað vökvun þegar raki í jarðvegi er nægjanlegur (t.d. eftir rigningu).</w:t>
            </w:r>
          </w:p>
          <w:p w:rsidR="00676680" w:rsidRDefault="00A837E4">
            <w:pPr>
              <w:tabs>
                <w:tab w:val="left" w:pos="5483"/>
              </w:tabs>
            </w:pPr>
            <w:r>
              <w:rPr>
                <w:b/>
              </w:rPr>
              <w:t>Staðfesting</w:t>
            </w:r>
            <w:r>
              <w:t>:  Bjóðandi skal leggja fram viðeigandi tæknigögn til að sanna að kröfur séu uppfylltar.</w:t>
            </w:r>
          </w:p>
        </w:tc>
        <w:tc>
          <w:tcPr>
            <w:tcW w:w="6946" w:type="dxa"/>
          </w:tcPr>
          <w:p w:rsidR="00676680" w:rsidRDefault="00A837E4">
            <w:r>
              <w:t xml:space="preserve">1. Vatnsmagn vökvunarkerfisins skal vera </w:t>
            </w:r>
            <w:proofErr w:type="spellStart"/>
            <w:r>
              <w:t>stillanlegteftir</w:t>
            </w:r>
            <w:proofErr w:type="spellEnd"/>
            <w:r>
              <w:t xml:space="preserve"> svæðum.</w:t>
            </w:r>
          </w:p>
          <w:p w:rsidR="00676680" w:rsidRDefault="00A837E4">
            <w:r>
              <w:t xml:space="preserve">2. Vökvunarkerfið skal vera búið tímastilli sem nota má til að stýra vökvunartímanum. </w:t>
            </w:r>
          </w:p>
          <w:p w:rsidR="00676680" w:rsidRDefault="00A837E4">
            <w:r>
              <w:t>3. Vökvunarkerfið skal vera útbúið rakamæli sem mælir raka í jarðvegi og getur sjálfvirkt stöðvað vökvun þegar raki í jarðvegi er nægjanlegur (t.d. eftir rigningu).</w:t>
            </w:r>
          </w:p>
          <w:p w:rsidR="00676680" w:rsidRDefault="00A837E4">
            <w:r>
              <w:rPr>
                <w:b/>
              </w:rPr>
              <w:t>Staðfesting</w:t>
            </w:r>
            <w:r>
              <w:t>:  Bjóðandi skal leggja fram viðeigandi tæknigögn til að sanna að kröfur séu uppfylltar.</w:t>
            </w:r>
          </w:p>
        </w:tc>
      </w:tr>
      <w:tr w:rsidR="00676680">
        <w:tc>
          <w:tcPr>
            <w:tcW w:w="7054" w:type="dxa"/>
            <w:shd w:val="clear" w:color="auto" w:fill="92D050"/>
          </w:tcPr>
          <w:p w:rsidR="00676680" w:rsidRDefault="00A837E4">
            <w:pPr>
              <w:spacing w:line="276" w:lineRule="auto"/>
              <w:rPr>
                <w:rFonts w:cs="Times New Roman"/>
                <w:szCs w:val="24"/>
              </w:rPr>
            </w:pPr>
            <w:r>
              <w:rPr>
                <w:b/>
              </w:rPr>
              <w:t>MATSVIÐMIÐ</w:t>
            </w:r>
          </w:p>
        </w:tc>
        <w:tc>
          <w:tcPr>
            <w:tcW w:w="6946" w:type="dxa"/>
            <w:shd w:val="clear" w:color="auto" w:fill="92D050"/>
          </w:tcPr>
          <w:p w:rsidR="00676680" w:rsidRDefault="00A837E4">
            <w:pPr>
              <w:spacing w:line="276" w:lineRule="auto"/>
              <w:rPr>
                <w:rFonts w:cs="Times New Roman"/>
                <w:szCs w:val="24"/>
              </w:rPr>
            </w:pPr>
            <w:r>
              <w:rPr>
                <w:b/>
              </w:rPr>
              <w:t>MATSVIÐMIÐ</w:t>
            </w:r>
          </w:p>
        </w:tc>
      </w:tr>
      <w:tr w:rsidR="00676680">
        <w:trPr>
          <w:trHeight w:val="543"/>
        </w:trPr>
        <w:tc>
          <w:tcPr>
            <w:tcW w:w="7054" w:type="dxa"/>
          </w:tcPr>
          <w:p w:rsidR="00676680" w:rsidRDefault="00A837E4">
            <w:pPr>
              <w:pStyle w:val="ListParagraph"/>
              <w:numPr>
                <w:ilvl w:val="0"/>
                <w:numId w:val="18"/>
              </w:numPr>
            </w:pPr>
            <w:r>
              <w:t>Aukastig verða veitt ef vökvunarkerfið getur safnað og endurnotað vatn úr nágrenninu, svo sem rigningarvatn, grunnvatn eða hreinsað grávatn.</w:t>
            </w:r>
          </w:p>
          <w:p w:rsidR="00676680" w:rsidRDefault="00A837E4">
            <w:r>
              <w:rPr>
                <w:b/>
              </w:rPr>
              <w:t>Staðfesting</w:t>
            </w:r>
            <w:r>
              <w:t>:  Verkkaupi leggur fram gögn um vatnsbúskap og einkenni svæðisins þ.m.t. loftslag og staðsetningu vökvunarkerfisins. Bjóðandi skal leggja fram viðeigandi skjöl til að sanna að kröfur séu uppfylltar.</w:t>
            </w:r>
          </w:p>
        </w:tc>
        <w:tc>
          <w:tcPr>
            <w:tcW w:w="6946" w:type="dxa"/>
          </w:tcPr>
          <w:p w:rsidR="00676680" w:rsidRDefault="00A837E4">
            <w:pPr>
              <w:pStyle w:val="ListParagraph"/>
              <w:numPr>
                <w:ilvl w:val="0"/>
                <w:numId w:val="34"/>
              </w:numPr>
            </w:pPr>
            <w:r>
              <w:t>Aukastig verða veitt ef vökvunarkerfið getur safnað og endurnotað vatn úr nágrenninu, svo sem rigningarvatn, grunnvatn eða hreinsað grávatn.</w:t>
            </w:r>
          </w:p>
          <w:p w:rsidR="00676680" w:rsidRDefault="00A837E4">
            <w:pPr>
              <w:spacing w:line="276" w:lineRule="auto"/>
              <w:rPr>
                <w:i/>
              </w:rPr>
            </w:pPr>
            <w:r>
              <w:rPr>
                <w:b/>
              </w:rPr>
              <w:t>Staðfesting</w:t>
            </w:r>
            <w:r>
              <w:t>:  Verkkaupi leggur fram gögn um vatnsbúskap og einkenni svæðisins þ.m.t. loftslag og staðsetningu vökvunarkerfisins. Bjóðandi skal leggja fram viðeigandi skjöl til að sanna að kröfur séu uppfylltar.</w:t>
            </w:r>
          </w:p>
        </w:tc>
      </w:tr>
    </w:tbl>
    <w:p w:rsidR="00676680" w:rsidRDefault="00A837E4">
      <w:pPr>
        <w:spacing w:after="200"/>
      </w:pPr>
      <w:r>
        <w:br w:type="page"/>
      </w:r>
    </w:p>
    <w:p w:rsidR="00676680" w:rsidRDefault="00FF76C9">
      <w:pPr>
        <w:pStyle w:val="Heading1"/>
      </w:pPr>
      <w:r>
        <w:lastRenderedPageBreak/>
        <w:t>Garðyrkjuvélar</w:t>
      </w:r>
    </w:p>
    <w:tbl>
      <w:tblPr>
        <w:tblStyle w:val="TableGrid1"/>
        <w:tblW w:w="14000" w:type="dxa"/>
        <w:tblLayout w:type="fixed"/>
        <w:tblLook w:val="04A0" w:firstRow="1" w:lastRow="0" w:firstColumn="1" w:lastColumn="0" w:noHBand="0" w:noVBand="1"/>
      </w:tblPr>
      <w:tblGrid>
        <w:gridCol w:w="7054"/>
        <w:gridCol w:w="6946"/>
      </w:tblGrid>
      <w:tr w:rsidR="00676680">
        <w:tc>
          <w:tcPr>
            <w:tcW w:w="7054" w:type="dxa"/>
            <w:shd w:val="clear" w:color="auto" w:fill="FFFF00"/>
          </w:tcPr>
          <w:p w:rsidR="00676680" w:rsidRDefault="00A837E4">
            <w:pPr>
              <w:pStyle w:val="Titill"/>
            </w:pPr>
            <w:r>
              <w:t>Grunnviðmið</w:t>
            </w:r>
          </w:p>
        </w:tc>
        <w:tc>
          <w:tcPr>
            <w:tcW w:w="6946" w:type="dxa"/>
            <w:shd w:val="clear" w:color="auto" w:fill="FFFF00"/>
          </w:tcPr>
          <w:p w:rsidR="00676680" w:rsidRDefault="00A837E4">
            <w:pPr>
              <w:spacing w:before="120"/>
              <w:rPr>
                <w:b/>
                <w:smallCaps/>
                <w:sz w:val="36"/>
                <w:szCs w:val="36"/>
              </w:rPr>
            </w:pPr>
            <w:r>
              <w:rPr>
                <w:b/>
                <w:smallCaps/>
                <w:sz w:val="36"/>
                <w:szCs w:val="36"/>
              </w:rPr>
              <w:t>Ítarviðmið</w:t>
            </w:r>
          </w:p>
        </w:tc>
      </w:tr>
      <w:tr w:rsidR="00676680">
        <w:tc>
          <w:tcPr>
            <w:tcW w:w="7054" w:type="dxa"/>
            <w:shd w:val="clear" w:color="auto" w:fill="92D050"/>
          </w:tcPr>
          <w:p w:rsidR="00676680" w:rsidRDefault="00A837E4">
            <w:pPr>
              <w:spacing w:line="276" w:lineRule="auto"/>
              <w:rPr>
                <w:b/>
              </w:rPr>
            </w:pPr>
            <w:r>
              <w:rPr>
                <w:b/>
              </w:rPr>
              <w:t>LÁGMARKSSKILYRÐI</w:t>
            </w:r>
          </w:p>
        </w:tc>
        <w:tc>
          <w:tcPr>
            <w:tcW w:w="6946" w:type="dxa"/>
            <w:shd w:val="clear" w:color="auto" w:fill="92D050"/>
          </w:tcPr>
          <w:p w:rsidR="00676680" w:rsidRDefault="00A837E4">
            <w:pPr>
              <w:spacing w:line="276" w:lineRule="auto"/>
              <w:rPr>
                <w:b/>
              </w:rPr>
            </w:pPr>
            <w:r>
              <w:rPr>
                <w:b/>
              </w:rPr>
              <w:t>LÁGMARKSSKILYRÐI</w:t>
            </w:r>
          </w:p>
        </w:tc>
      </w:tr>
      <w:tr w:rsidR="00676680">
        <w:tc>
          <w:tcPr>
            <w:tcW w:w="7054" w:type="dxa"/>
          </w:tcPr>
          <w:p w:rsidR="00676680" w:rsidRDefault="00A837E4">
            <w:pPr>
              <w:pStyle w:val="ListParagraph"/>
              <w:numPr>
                <w:ilvl w:val="0"/>
                <w:numId w:val="44"/>
              </w:numPr>
              <w:rPr>
                <w:b/>
              </w:rPr>
            </w:pPr>
            <w:r>
              <w:rPr>
                <w:b/>
              </w:rPr>
              <w:t>Eldsneyti fyrir vélar með brunahreyfil</w:t>
            </w:r>
          </w:p>
          <w:p w:rsidR="00676680" w:rsidRDefault="00A837E4">
            <w:r>
              <w:t xml:space="preserve">Vélar með </w:t>
            </w:r>
            <w:proofErr w:type="spellStart"/>
            <w:r>
              <w:t>brunahreyfilskulu</w:t>
            </w:r>
            <w:proofErr w:type="spellEnd"/>
            <w:r>
              <w:t xml:space="preserve"> vera hannaðar þannig að þær gangi fyrir að minnsta kosti einni af eftirfarandi eldsneytistegundum (e. </w:t>
            </w:r>
            <w:proofErr w:type="spellStart"/>
            <w:r>
              <w:t>Fuel</w:t>
            </w:r>
            <w:proofErr w:type="spellEnd"/>
            <w:r w:rsidR="00F26F0B">
              <w:t xml:space="preserve"> </w:t>
            </w:r>
            <w:proofErr w:type="spellStart"/>
            <w:r>
              <w:t>grades</w:t>
            </w:r>
            <w:proofErr w:type="spellEnd"/>
            <w:r>
              <w:t xml:space="preserve">): blýlausu bensíni með benzeninnihald&lt;1.0 % af rúmmáli, </w:t>
            </w:r>
            <w:proofErr w:type="spellStart"/>
            <w:r>
              <w:t>alkýlat</w:t>
            </w:r>
            <w:proofErr w:type="spellEnd"/>
            <w:r>
              <w:t xml:space="preserve">-bensíni, díselolíu flokki A, eða lífeldsneyti. </w:t>
            </w:r>
          </w:p>
          <w:p w:rsidR="00676680" w:rsidRDefault="00A837E4">
            <w:r>
              <w:rPr>
                <w:b/>
              </w:rPr>
              <w:t>Staðfesting</w:t>
            </w:r>
            <w:r>
              <w:t>: Bjóðandi skal leggja fram undirritaða yfirlýsingu um að ofangreind krafa verði uppfyllt.Vörur sem eru umhverfismerktar (Tegund 1) og uppfylla ofangreindar kröfur teljast samræmast viðmiðunum eru fullnægjandi staðfesting. Önnur viðeigandi sönnunargögn, t.d. tæknilýsingar framleiðanda eða prófunarskýrsla óháðs aðila, verða tekin gild.</w:t>
            </w:r>
          </w:p>
        </w:tc>
        <w:tc>
          <w:tcPr>
            <w:tcW w:w="6946" w:type="dxa"/>
          </w:tcPr>
          <w:p w:rsidR="00676680" w:rsidRDefault="00A837E4">
            <w:pPr>
              <w:pStyle w:val="ListParagraph"/>
              <w:numPr>
                <w:ilvl w:val="0"/>
                <w:numId w:val="43"/>
              </w:numPr>
              <w:rPr>
                <w:b/>
              </w:rPr>
            </w:pPr>
            <w:r>
              <w:rPr>
                <w:b/>
              </w:rPr>
              <w:t xml:space="preserve">Eldsneyti fyrir vélar með brunahreyfil </w:t>
            </w:r>
          </w:p>
          <w:p w:rsidR="00676680" w:rsidRDefault="00A837E4">
            <w:r>
              <w:t xml:space="preserve">Vélar með brunahreyfil skulu vera hannaðar þannig að þær gangi fyrir að minnsta kosti einni af eftirfarandi eldsneytistegundum (e. </w:t>
            </w:r>
            <w:proofErr w:type="spellStart"/>
            <w:r>
              <w:t>Fuel</w:t>
            </w:r>
            <w:proofErr w:type="spellEnd"/>
            <w:r w:rsidR="00F26F0B">
              <w:t xml:space="preserve"> </w:t>
            </w:r>
            <w:proofErr w:type="spellStart"/>
            <w:r>
              <w:t>grades</w:t>
            </w:r>
            <w:proofErr w:type="spellEnd"/>
            <w:r>
              <w:t xml:space="preserve">): blýlausu bensíni með benzeninnihald &lt;1.0 % af rúmmáli, </w:t>
            </w:r>
            <w:proofErr w:type="spellStart"/>
            <w:r>
              <w:t>alkýlat</w:t>
            </w:r>
            <w:proofErr w:type="spellEnd"/>
            <w:r>
              <w:t xml:space="preserve">-bensíni, díselolíu flokki A, eða lífeldsneyti. </w:t>
            </w:r>
          </w:p>
          <w:p w:rsidR="00676680" w:rsidRDefault="00A837E4">
            <w:r>
              <w:rPr>
                <w:b/>
              </w:rPr>
              <w:t>Staðfesting</w:t>
            </w:r>
            <w:r>
              <w:t>: Bjóðandi skal leggja fram undirritaða yfirlýsingu um að ofangreind krafa verði uppfyllt. Vörur sem eru umhverfismerktar (Tegund 1) og uppfylla ofangreindar kröfur teljast samræmast viðmiðunum eru fullnægjandi staðfesting. Önnur viðeigandi sönnunargögn, t.d. tæknilýsingar framleiðanda eða prófunarskýrsla óháðs aðila, verða tekin gild.</w:t>
            </w:r>
          </w:p>
        </w:tc>
      </w:tr>
      <w:tr w:rsidR="00676680">
        <w:tc>
          <w:tcPr>
            <w:tcW w:w="7054" w:type="dxa"/>
          </w:tcPr>
          <w:p w:rsidR="00676680" w:rsidRDefault="00A837E4">
            <w:pPr>
              <w:rPr>
                <w:b/>
              </w:rPr>
            </w:pPr>
            <w:r>
              <w:rPr>
                <w:b/>
              </w:rPr>
              <w:t>2. Hávaði</w:t>
            </w:r>
          </w:p>
          <w:p w:rsidR="00676680" w:rsidRDefault="00A837E4">
            <w:r>
              <w:t>Hávaðamörk véla skulu vera lægri en hér segir:</w:t>
            </w:r>
          </w:p>
          <w:tbl>
            <w:tblPr>
              <w:tblStyle w:val="TableGrid"/>
              <w:tblW w:w="0" w:type="auto"/>
              <w:tblLayout w:type="fixed"/>
              <w:tblLook w:val="04A0" w:firstRow="1" w:lastRow="0" w:firstColumn="1" w:lastColumn="0" w:noHBand="0" w:noVBand="1"/>
            </w:tblPr>
            <w:tblGrid>
              <w:gridCol w:w="2274"/>
              <w:gridCol w:w="2274"/>
              <w:gridCol w:w="2275"/>
            </w:tblGrid>
            <w:tr w:rsidR="00676680">
              <w:tc>
                <w:tcPr>
                  <w:tcW w:w="2274" w:type="dxa"/>
                </w:tcPr>
                <w:p w:rsidR="00676680" w:rsidRDefault="00A837E4">
                  <w:pPr>
                    <w:rPr>
                      <w:b/>
                    </w:rPr>
                  </w:pPr>
                  <w:r>
                    <w:rPr>
                      <w:b/>
                    </w:rPr>
                    <w:t>Gerð vélar</w:t>
                  </w:r>
                </w:p>
              </w:tc>
              <w:tc>
                <w:tcPr>
                  <w:tcW w:w="2274" w:type="dxa"/>
                </w:tcPr>
                <w:p w:rsidR="00676680" w:rsidRDefault="00A837E4">
                  <w:pPr>
                    <w:rPr>
                      <w:b/>
                    </w:rPr>
                  </w:pPr>
                  <w:r>
                    <w:rPr>
                      <w:b/>
                    </w:rPr>
                    <w:t>Viðmið</w:t>
                  </w:r>
                </w:p>
              </w:tc>
              <w:tc>
                <w:tcPr>
                  <w:tcW w:w="2275" w:type="dxa"/>
                </w:tcPr>
                <w:p w:rsidR="00676680" w:rsidRDefault="00A837E4">
                  <w:pPr>
                    <w:rPr>
                      <w:b/>
                    </w:rPr>
                  </w:pPr>
                  <w:r>
                    <w:rPr>
                      <w:b/>
                    </w:rPr>
                    <w:t>Leyfilegur hámarks hljóðstyrkur LWA (</w:t>
                  </w:r>
                  <w:proofErr w:type="spellStart"/>
                  <w:r>
                    <w:rPr>
                      <w:b/>
                    </w:rPr>
                    <w:t>dB</w:t>
                  </w:r>
                  <w:proofErr w:type="spellEnd"/>
                  <w:r>
                    <w:rPr>
                      <w:b/>
                    </w:rPr>
                    <w:t xml:space="preserve">/1pW) </w:t>
                  </w:r>
                </w:p>
              </w:tc>
            </w:tr>
            <w:tr w:rsidR="00676680">
              <w:tc>
                <w:tcPr>
                  <w:tcW w:w="2274" w:type="dxa"/>
                </w:tcPr>
                <w:p w:rsidR="00676680" w:rsidRDefault="00A837E4">
                  <w:r>
                    <w:t>Sláttuvél (einnig sláttutraktor)</w:t>
                  </w:r>
                </w:p>
              </w:tc>
              <w:tc>
                <w:tcPr>
                  <w:tcW w:w="2274" w:type="dxa"/>
                </w:tcPr>
                <w:p w:rsidR="00676680" w:rsidRDefault="00A837E4">
                  <w:r>
                    <w:t xml:space="preserve">L ≤ 50 </w:t>
                  </w:r>
                  <w:proofErr w:type="spellStart"/>
                  <w:r>
                    <w:t>cm</w:t>
                  </w:r>
                  <w:proofErr w:type="spellEnd"/>
                </w:p>
                <w:p w:rsidR="00676680" w:rsidRDefault="00A837E4">
                  <w:r>
                    <w:t xml:space="preserve">50 &lt; L ≤  120 </w:t>
                  </w:r>
                  <w:proofErr w:type="spellStart"/>
                  <w:r>
                    <w:t>cm</w:t>
                  </w:r>
                  <w:proofErr w:type="spellEnd"/>
                </w:p>
                <w:p w:rsidR="00676680" w:rsidRDefault="00A837E4">
                  <w:r>
                    <w:t xml:space="preserve">L &gt; 120 </w:t>
                  </w:r>
                  <w:proofErr w:type="spellStart"/>
                  <w:r>
                    <w:t>cm</w:t>
                  </w:r>
                  <w:proofErr w:type="spellEnd"/>
                </w:p>
                <w:p w:rsidR="00676680" w:rsidRDefault="00A837E4">
                  <w:r>
                    <w:t xml:space="preserve">(L = sláttubreidd e. </w:t>
                  </w:r>
                  <w:proofErr w:type="spellStart"/>
                  <w:r>
                    <w:lastRenderedPageBreak/>
                    <w:t>cuttingwidth</w:t>
                  </w:r>
                  <w:proofErr w:type="spellEnd"/>
                  <w:r>
                    <w:t>)</w:t>
                  </w:r>
                </w:p>
              </w:tc>
              <w:tc>
                <w:tcPr>
                  <w:tcW w:w="2275" w:type="dxa"/>
                </w:tcPr>
                <w:p w:rsidR="00676680" w:rsidRDefault="00A837E4">
                  <w:r>
                    <w:lastRenderedPageBreak/>
                    <w:t xml:space="preserve">94 </w:t>
                  </w:r>
                </w:p>
                <w:p w:rsidR="00676680" w:rsidRDefault="00A837E4">
                  <w:r>
                    <w:t xml:space="preserve">98 </w:t>
                  </w:r>
                </w:p>
                <w:p w:rsidR="00676680" w:rsidRDefault="00A837E4">
                  <w:r>
                    <w:t>103</w:t>
                  </w:r>
                </w:p>
              </w:tc>
            </w:tr>
            <w:tr w:rsidR="00676680">
              <w:tc>
                <w:tcPr>
                  <w:tcW w:w="2274" w:type="dxa"/>
                </w:tcPr>
                <w:p w:rsidR="00676680" w:rsidRDefault="00A837E4">
                  <w:pPr>
                    <w:rPr>
                      <w:rFonts w:cs="Times New Roman"/>
                    </w:rPr>
                  </w:pPr>
                  <w:r>
                    <w:rPr>
                      <w:rFonts w:cs="Times New Roman"/>
                    </w:rPr>
                    <w:lastRenderedPageBreak/>
                    <w:t>Jarðvegslosari</w:t>
                  </w:r>
                </w:p>
              </w:tc>
              <w:tc>
                <w:tcPr>
                  <w:tcW w:w="2274" w:type="dxa"/>
                </w:tcPr>
                <w:p w:rsidR="00676680" w:rsidRDefault="00A837E4">
                  <w:pPr>
                    <w:rPr>
                      <w:rFonts w:cs="Times New Roman"/>
                    </w:rPr>
                  </w:pPr>
                  <w:r>
                    <w:rPr>
                      <w:rFonts w:cs="Times New Roman"/>
                    </w:rPr>
                    <w:t>Brunahreyfill</w:t>
                  </w:r>
                </w:p>
                <w:p w:rsidR="00676680" w:rsidRDefault="00A837E4">
                  <w:pPr>
                    <w:rPr>
                      <w:rFonts w:cs="Times New Roman"/>
                    </w:rPr>
                  </w:pPr>
                  <w:r>
                    <w:rPr>
                      <w:rFonts w:cs="Times New Roman"/>
                    </w:rPr>
                    <w:t xml:space="preserve">(P = nettónafnafl (e. net </w:t>
                  </w:r>
                  <w:proofErr w:type="spellStart"/>
                  <w:r>
                    <w:rPr>
                      <w:rFonts w:cs="Times New Roman"/>
                    </w:rPr>
                    <w:t>ratedpower</w:t>
                  </w:r>
                  <w:proofErr w:type="spellEnd"/>
                  <w:r>
                    <w:rPr>
                      <w:rFonts w:cs="Times New Roman"/>
                    </w:rPr>
                    <w:t xml:space="preserve">) í </w:t>
                  </w:r>
                  <w:proofErr w:type="spellStart"/>
                  <w:r>
                    <w:rPr>
                      <w:rFonts w:cs="Times New Roman"/>
                    </w:rPr>
                    <w:t>kW</w:t>
                  </w:r>
                  <w:proofErr w:type="spellEnd"/>
                  <w:r>
                    <w:rPr>
                      <w:rFonts w:cs="Times New Roman"/>
                    </w:rPr>
                    <w:t xml:space="preserve">) </w:t>
                  </w:r>
                </w:p>
              </w:tc>
              <w:tc>
                <w:tcPr>
                  <w:tcW w:w="2275" w:type="dxa"/>
                </w:tcPr>
                <w:p w:rsidR="00676680" w:rsidRDefault="00A837E4">
                  <w:pPr>
                    <w:rPr>
                      <w:rFonts w:cs="Times New Roman"/>
                    </w:rPr>
                  </w:pPr>
                  <w:r>
                    <w:rPr>
                      <w:rFonts w:cs="Times New Roman"/>
                    </w:rPr>
                    <w:t xml:space="preserve">99 + 2 </w:t>
                  </w:r>
                  <w:proofErr w:type="spellStart"/>
                  <w:r>
                    <w:rPr>
                      <w:rFonts w:cs="Times New Roman"/>
                    </w:rPr>
                    <w:t>lg</w:t>
                  </w:r>
                  <w:proofErr w:type="spellEnd"/>
                  <w:r>
                    <w:rPr>
                      <w:rFonts w:cs="Times New Roman"/>
                    </w:rPr>
                    <w:t xml:space="preserve"> P </w:t>
                  </w:r>
                </w:p>
                <w:p w:rsidR="00676680" w:rsidRDefault="00676680">
                  <w:pPr>
                    <w:rPr>
                      <w:rFonts w:cs="Times New Roman"/>
                    </w:rPr>
                  </w:pPr>
                </w:p>
              </w:tc>
            </w:tr>
            <w:tr w:rsidR="00676680">
              <w:tc>
                <w:tcPr>
                  <w:tcW w:w="2274" w:type="dxa"/>
                </w:tcPr>
                <w:p w:rsidR="00676680" w:rsidRDefault="00A837E4">
                  <w:pPr>
                    <w:rPr>
                      <w:rFonts w:cs="Times New Roman"/>
                    </w:rPr>
                  </w:pPr>
                  <w:r>
                    <w:rPr>
                      <w:rFonts w:cs="Times New Roman"/>
                    </w:rPr>
                    <w:t>Sláttuorf fyrir runna</w:t>
                  </w:r>
                </w:p>
              </w:tc>
              <w:tc>
                <w:tcPr>
                  <w:tcW w:w="2274" w:type="dxa"/>
                </w:tcPr>
                <w:p w:rsidR="00676680" w:rsidRDefault="00A837E4">
                  <w:pPr>
                    <w:rPr>
                      <w:rFonts w:cs="Times New Roman"/>
                    </w:rPr>
                  </w:pPr>
                  <w:r>
                    <w:rPr>
                      <w:rFonts w:cs="Times New Roman"/>
                    </w:rPr>
                    <w:t xml:space="preserve">P ≤ 1,5kW </w:t>
                  </w:r>
                </w:p>
                <w:p w:rsidR="00676680" w:rsidRDefault="00A837E4">
                  <w:pPr>
                    <w:rPr>
                      <w:rFonts w:cs="Times New Roman"/>
                    </w:rPr>
                  </w:pPr>
                  <w:r>
                    <w:rPr>
                      <w:rFonts w:cs="Times New Roman"/>
                    </w:rPr>
                    <w:t xml:space="preserve">P &gt; 1,5kW </w:t>
                  </w:r>
                </w:p>
                <w:p w:rsidR="00676680" w:rsidRDefault="00A837E4">
                  <w:pPr>
                    <w:rPr>
                      <w:rFonts w:cs="Times New Roman"/>
                    </w:rPr>
                  </w:pPr>
                  <w:r>
                    <w:rPr>
                      <w:rFonts w:cs="Times New Roman"/>
                    </w:rPr>
                    <w:t xml:space="preserve">(P = nettónafnafl </w:t>
                  </w:r>
                  <w:proofErr w:type="spellStart"/>
                  <w:r>
                    <w:rPr>
                      <w:rFonts w:cs="Times New Roman"/>
                    </w:rPr>
                    <w:t>íkW</w:t>
                  </w:r>
                  <w:proofErr w:type="spellEnd"/>
                  <w:r>
                    <w:rPr>
                      <w:rFonts w:cs="Times New Roman"/>
                    </w:rPr>
                    <w:t xml:space="preserve">) </w:t>
                  </w:r>
                </w:p>
              </w:tc>
              <w:tc>
                <w:tcPr>
                  <w:tcW w:w="2275" w:type="dxa"/>
                </w:tcPr>
                <w:p w:rsidR="00676680" w:rsidRDefault="00A837E4">
                  <w:pPr>
                    <w:rPr>
                      <w:rFonts w:cs="Times New Roman"/>
                    </w:rPr>
                  </w:pPr>
                  <w:r>
                    <w:rPr>
                      <w:rFonts w:cs="Times New Roman"/>
                    </w:rPr>
                    <w:t xml:space="preserve">107 </w:t>
                  </w:r>
                </w:p>
                <w:p w:rsidR="00676680" w:rsidRDefault="00A837E4">
                  <w:pPr>
                    <w:rPr>
                      <w:rFonts w:cs="Times New Roman"/>
                    </w:rPr>
                  </w:pPr>
                  <w:r>
                    <w:rPr>
                      <w:rFonts w:cs="Times New Roman"/>
                    </w:rPr>
                    <w:t xml:space="preserve">110 </w:t>
                  </w:r>
                </w:p>
                <w:p w:rsidR="00676680" w:rsidRDefault="00676680">
                  <w:pPr>
                    <w:rPr>
                      <w:rFonts w:cs="Times New Roman"/>
                    </w:rPr>
                  </w:pPr>
                </w:p>
              </w:tc>
            </w:tr>
            <w:tr w:rsidR="00676680">
              <w:tc>
                <w:tcPr>
                  <w:tcW w:w="2274" w:type="dxa"/>
                </w:tcPr>
                <w:p w:rsidR="00676680" w:rsidRDefault="00A837E4">
                  <w:pPr>
                    <w:rPr>
                      <w:rFonts w:cs="Times New Roman"/>
                    </w:rPr>
                  </w:pPr>
                  <w:r>
                    <w:rPr>
                      <w:rFonts w:cs="Times New Roman"/>
                    </w:rPr>
                    <w:t>Keðjusög</w:t>
                  </w:r>
                </w:p>
              </w:tc>
              <w:tc>
                <w:tcPr>
                  <w:tcW w:w="2274" w:type="dxa"/>
                </w:tcPr>
                <w:p w:rsidR="00676680" w:rsidRDefault="00A837E4">
                  <w:pPr>
                    <w:rPr>
                      <w:rFonts w:cs="Times New Roman"/>
                    </w:rPr>
                  </w:pPr>
                  <w:r>
                    <w:rPr>
                      <w:rFonts w:cs="Times New Roman"/>
                    </w:rPr>
                    <w:t>Rafmótor</w:t>
                  </w:r>
                </w:p>
                <w:p w:rsidR="00676680" w:rsidRDefault="00A837E4">
                  <w:pPr>
                    <w:rPr>
                      <w:rFonts w:cs="Times New Roman"/>
                    </w:rPr>
                  </w:pPr>
                  <w:r>
                    <w:rPr>
                      <w:rFonts w:cs="Times New Roman"/>
                    </w:rPr>
                    <w:t>Brunahreyfill</w:t>
                  </w:r>
                </w:p>
                <w:p w:rsidR="00676680" w:rsidRDefault="00A837E4">
                  <w:pPr>
                    <w:rPr>
                      <w:rFonts w:cs="Times New Roman"/>
                    </w:rPr>
                  </w:pPr>
                  <w:r>
                    <w:rPr>
                      <w:rFonts w:cs="Times New Roman"/>
                    </w:rPr>
                    <w:t xml:space="preserve">(P = nettónafnafl í </w:t>
                  </w:r>
                  <w:proofErr w:type="spellStart"/>
                  <w:r>
                    <w:rPr>
                      <w:rFonts w:cs="Times New Roman"/>
                    </w:rPr>
                    <w:t>kW</w:t>
                  </w:r>
                  <w:proofErr w:type="spellEnd"/>
                  <w:r>
                    <w:rPr>
                      <w:rFonts w:cs="Times New Roman"/>
                    </w:rPr>
                    <w:t>)</w:t>
                  </w:r>
                </w:p>
              </w:tc>
              <w:tc>
                <w:tcPr>
                  <w:tcW w:w="2275" w:type="dxa"/>
                </w:tcPr>
                <w:p w:rsidR="00676680" w:rsidRDefault="00A837E4">
                  <w:pPr>
                    <w:rPr>
                      <w:rFonts w:cs="Times New Roman"/>
                    </w:rPr>
                  </w:pPr>
                  <w:r>
                    <w:rPr>
                      <w:rFonts w:cs="Times New Roman"/>
                    </w:rPr>
                    <w:t xml:space="preserve">104 </w:t>
                  </w:r>
                </w:p>
                <w:p w:rsidR="00676680" w:rsidRDefault="00A837E4">
                  <w:pPr>
                    <w:rPr>
                      <w:rFonts w:cs="Times New Roman"/>
                    </w:rPr>
                  </w:pPr>
                  <w:r>
                    <w:rPr>
                      <w:rFonts w:cs="Times New Roman"/>
                    </w:rPr>
                    <w:t xml:space="preserve">108 + 2 P </w:t>
                  </w:r>
                </w:p>
                <w:p w:rsidR="00676680" w:rsidRDefault="00676680">
                  <w:pPr>
                    <w:rPr>
                      <w:rFonts w:cs="Times New Roman"/>
                    </w:rPr>
                  </w:pPr>
                </w:p>
              </w:tc>
            </w:tr>
            <w:tr w:rsidR="00676680">
              <w:tc>
                <w:tcPr>
                  <w:tcW w:w="2274" w:type="dxa"/>
                </w:tcPr>
                <w:p w:rsidR="00676680" w:rsidRDefault="00A837E4">
                  <w:pPr>
                    <w:rPr>
                      <w:rFonts w:cs="Times New Roman"/>
                    </w:rPr>
                  </w:pPr>
                  <w:r>
                    <w:rPr>
                      <w:rFonts w:cs="Times New Roman"/>
                    </w:rPr>
                    <w:t>Sláttuorf</w:t>
                  </w:r>
                </w:p>
                <w:p w:rsidR="00676680" w:rsidRDefault="00676680">
                  <w:pPr>
                    <w:rPr>
                      <w:rFonts w:cs="Times New Roman"/>
                    </w:rPr>
                  </w:pPr>
                </w:p>
              </w:tc>
              <w:tc>
                <w:tcPr>
                  <w:tcW w:w="2274" w:type="dxa"/>
                </w:tcPr>
                <w:p w:rsidR="00676680" w:rsidRDefault="00A837E4">
                  <w:pPr>
                    <w:rPr>
                      <w:rFonts w:cs="Times New Roman"/>
                    </w:rPr>
                  </w:pPr>
                  <w:r>
                    <w:rPr>
                      <w:rFonts w:cs="Times New Roman"/>
                    </w:rPr>
                    <w:t>Rafmótor</w:t>
                  </w:r>
                </w:p>
                <w:p w:rsidR="00676680" w:rsidRDefault="00A837E4">
                  <w:pPr>
                    <w:rPr>
                      <w:rFonts w:cs="Times New Roman"/>
                    </w:rPr>
                  </w:pPr>
                  <w:r>
                    <w:rPr>
                      <w:rFonts w:cs="Times New Roman"/>
                    </w:rPr>
                    <w:t>Brunahreyfill</w:t>
                  </w:r>
                </w:p>
              </w:tc>
              <w:tc>
                <w:tcPr>
                  <w:tcW w:w="2275" w:type="dxa"/>
                </w:tcPr>
                <w:p w:rsidR="00676680" w:rsidRDefault="00A837E4">
                  <w:pPr>
                    <w:rPr>
                      <w:rFonts w:cs="Times New Roman"/>
                    </w:rPr>
                  </w:pPr>
                  <w:r>
                    <w:rPr>
                      <w:rFonts w:cs="Times New Roman"/>
                    </w:rPr>
                    <w:t xml:space="preserve">94 </w:t>
                  </w:r>
                </w:p>
                <w:p w:rsidR="00676680" w:rsidRDefault="00A837E4">
                  <w:pPr>
                    <w:rPr>
                      <w:rFonts w:cs="Times New Roman"/>
                    </w:rPr>
                  </w:pPr>
                  <w:r>
                    <w:rPr>
                      <w:rFonts w:cs="Times New Roman"/>
                    </w:rPr>
                    <w:t xml:space="preserve">104 </w:t>
                  </w:r>
                </w:p>
              </w:tc>
            </w:tr>
            <w:tr w:rsidR="00676680">
              <w:tc>
                <w:tcPr>
                  <w:tcW w:w="2274" w:type="dxa"/>
                </w:tcPr>
                <w:p w:rsidR="00676680" w:rsidRDefault="00A837E4">
                  <w:pPr>
                    <w:rPr>
                      <w:rFonts w:cs="Times New Roman"/>
                    </w:rPr>
                  </w:pPr>
                  <w:r>
                    <w:rPr>
                      <w:rFonts w:cs="Times New Roman"/>
                    </w:rPr>
                    <w:t>Hekkklippur og runnasnyrtir</w:t>
                  </w:r>
                </w:p>
              </w:tc>
              <w:tc>
                <w:tcPr>
                  <w:tcW w:w="2274" w:type="dxa"/>
                </w:tcPr>
                <w:p w:rsidR="00676680" w:rsidRDefault="00A837E4">
                  <w:pPr>
                    <w:rPr>
                      <w:rFonts w:cs="Times New Roman"/>
                    </w:rPr>
                  </w:pPr>
                  <w:r>
                    <w:rPr>
                      <w:rFonts w:cs="Times New Roman"/>
                    </w:rPr>
                    <w:t>Rafmótor</w:t>
                  </w:r>
                </w:p>
                <w:p w:rsidR="00676680" w:rsidRDefault="00A837E4">
                  <w:pPr>
                    <w:rPr>
                      <w:rFonts w:cs="Times New Roman"/>
                    </w:rPr>
                  </w:pPr>
                  <w:r>
                    <w:rPr>
                      <w:rFonts w:cs="Times New Roman"/>
                    </w:rPr>
                    <w:t>Brunahreyfill</w:t>
                  </w:r>
                </w:p>
              </w:tc>
              <w:tc>
                <w:tcPr>
                  <w:tcW w:w="2275" w:type="dxa"/>
                </w:tcPr>
                <w:p w:rsidR="00676680" w:rsidRDefault="00A837E4">
                  <w:pPr>
                    <w:rPr>
                      <w:rFonts w:cs="Times New Roman"/>
                    </w:rPr>
                  </w:pPr>
                  <w:r>
                    <w:rPr>
                      <w:rFonts w:cs="Times New Roman"/>
                    </w:rPr>
                    <w:t xml:space="preserve">96 </w:t>
                  </w:r>
                </w:p>
                <w:p w:rsidR="00676680" w:rsidRDefault="00A837E4">
                  <w:pPr>
                    <w:rPr>
                      <w:rFonts w:cs="Times New Roman"/>
                    </w:rPr>
                  </w:pPr>
                  <w:r>
                    <w:rPr>
                      <w:rFonts w:cs="Times New Roman"/>
                    </w:rPr>
                    <w:t xml:space="preserve">103 </w:t>
                  </w:r>
                </w:p>
              </w:tc>
            </w:tr>
            <w:tr w:rsidR="00676680">
              <w:tc>
                <w:tcPr>
                  <w:tcW w:w="2274" w:type="dxa"/>
                </w:tcPr>
                <w:p w:rsidR="00676680" w:rsidRDefault="00A837E4">
                  <w:pPr>
                    <w:rPr>
                      <w:rFonts w:cs="Times New Roman"/>
                    </w:rPr>
                  </w:pPr>
                  <w:r>
                    <w:rPr>
                      <w:rFonts w:cs="Times New Roman"/>
                    </w:rPr>
                    <w:t>Laufsuga</w:t>
                  </w:r>
                </w:p>
                <w:p w:rsidR="00676680" w:rsidRDefault="00676680">
                  <w:pPr>
                    <w:rPr>
                      <w:rFonts w:cs="Times New Roman"/>
                    </w:rPr>
                  </w:pPr>
                </w:p>
              </w:tc>
              <w:tc>
                <w:tcPr>
                  <w:tcW w:w="2274" w:type="dxa"/>
                </w:tcPr>
                <w:p w:rsidR="00676680" w:rsidRDefault="00A837E4">
                  <w:pPr>
                    <w:rPr>
                      <w:rFonts w:cs="Times New Roman"/>
                    </w:rPr>
                  </w:pPr>
                  <w:r>
                    <w:rPr>
                      <w:rFonts w:cs="Times New Roman"/>
                    </w:rPr>
                    <w:t>Rafmótor</w:t>
                  </w:r>
                </w:p>
                <w:p w:rsidR="00676680" w:rsidRDefault="00A837E4">
                  <w:pPr>
                    <w:rPr>
                      <w:rFonts w:cs="Times New Roman"/>
                    </w:rPr>
                  </w:pPr>
                  <w:r>
                    <w:rPr>
                      <w:rFonts w:cs="Times New Roman"/>
                    </w:rPr>
                    <w:t>Brunahreyfill</w:t>
                  </w:r>
                </w:p>
              </w:tc>
              <w:tc>
                <w:tcPr>
                  <w:tcW w:w="2275" w:type="dxa"/>
                </w:tcPr>
                <w:p w:rsidR="00676680" w:rsidRDefault="00A837E4">
                  <w:pPr>
                    <w:rPr>
                      <w:rFonts w:cs="Times New Roman"/>
                    </w:rPr>
                  </w:pPr>
                  <w:r>
                    <w:rPr>
                      <w:rFonts w:cs="Times New Roman"/>
                    </w:rPr>
                    <w:t xml:space="preserve">99 </w:t>
                  </w:r>
                </w:p>
                <w:p w:rsidR="00676680" w:rsidRDefault="00A837E4">
                  <w:pPr>
                    <w:rPr>
                      <w:rFonts w:cs="Times New Roman"/>
                    </w:rPr>
                  </w:pPr>
                  <w:r>
                    <w:rPr>
                      <w:rFonts w:cs="Times New Roman"/>
                    </w:rPr>
                    <w:t xml:space="preserve">104 </w:t>
                  </w:r>
                </w:p>
              </w:tc>
            </w:tr>
            <w:tr w:rsidR="00676680">
              <w:tc>
                <w:tcPr>
                  <w:tcW w:w="2274" w:type="dxa"/>
                </w:tcPr>
                <w:p w:rsidR="00676680" w:rsidRDefault="00A837E4">
                  <w:pPr>
                    <w:rPr>
                      <w:rFonts w:cs="Times New Roman"/>
                    </w:rPr>
                  </w:pPr>
                  <w:r>
                    <w:rPr>
                      <w:rFonts w:cs="Times New Roman"/>
                    </w:rPr>
                    <w:t>Laufblásari</w:t>
                  </w:r>
                </w:p>
              </w:tc>
              <w:tc>
                <w:tcPr>
                  <w:tcW w:w="2274" w:type="dxa"/>
                </w:tcPr>
                <w:p w:rsidR="00676680" w:rsidRDefault="00A837E4">
                  <w:pPr>
                    <w:rPr>
                      <w:rFonts w:cs="Times New Roman"/>
                    </w:rPr>
                  </w:pPr>
                  <w:r>
                    <w:rPr>
                      <w:rFonts w:cs="Times New Roman"/>
                    </w:rPr>
                    <w:t>Rafmótor</w:t>
                  </w:r>
                </w:p>
                <w:p w:rsidR="00676680" w:rsidRDefault="00A837E4">
                  <w:pPr>
                    <w:rPr>
                      <w:rFonts w:cs="Times New Roman"/>
                    </w:rPr>
                  </w:pPr>
                  <w:r>
                    <w:rPr>
                      <w:rFonts w:cs="Times New Roman"/>
                    </w:rPr>
                    <w:t>Brunahreyfill</w:t>
                  </w:r>
                </w:p>
              </w:tc>
              <w:tc>
                <w:tcPr>
                  <w:tcW w:w="2275" w:type="dxa"/>
                </w:tcPr>
                <w:p w:rsidR="00676680" w:rsidRDefault="00A837E4">
                  <w:pPr>
                    <w:rPr>
                      <w:rFonts w:cs="Times New Roman"/>
                    </w:rPr>
                  </w:pPr>
                  <w:r>
                    <w:rPr>
                      <w:rFonts w:cs="Times New Roman"/>
                    </w:rPr>
                    <w:t xml:space="preserve">99 </w:t>
                  </w:r>
                </w:p>
                <w:p w:rsidR="00676680" w:rsidRDefault="00A837E4">
                  <w:pPr>
                    <w:rPr>
                      <w:rFonts w:cs="Times New Roman"/>
                    </w:rPr>
                  </w:pPr>
                  <w:r>
                    <w:rPr>
                      <w:rFonts w:cs="Times New Roman"/>
                    </w:rPr>
                    <w:t xml:space="preserve">105 </w:t>
                  </w:r>
                </w:p>
              </w:tc>
            </w:tr>
            <w:tr w:rsidR="00676680">
              <w:tc>
                <w:tcPr>
                  <w:tcW w:w="2274" w:type="dxa"/>
                </w:tcPr>
                <w:p w:rsidR="00676680" w:rsidRDefault="00A837E4">
                  <w:pPr>
                    <w:rPr>
                      <w:rFonts w:cs="Times New Roman"/>
                    </w:rPr>
                  </w:pPr>
                  <w:r>
                    <w:rPr>
                      <w:rFonts w:cs="Times New Roman"/>
                    </w:rPr>
                    <w:t>Sláttugreiða</w:t>
                  </w:r>
                </w:p>
                <w:p w:rsidR="00676680" w:rsidRDefault="00676680">
                  <w:pPr>
                    <w:rPr>
                      <w:rFonts w:cs="Times New Roman"/>
                    </w:rPr>
                  </w:pPr>
                </w:p>
              </w:tc>
              <w:tc>
                <w:tcPr>
                  <w:tcW w:w="2274" w:type="dxa"/>
                </w:tcPr>
                <w:p w:rsidR="00676680" w:rsidRDefault="00A837E4">
                  <w:pPr>
                    <w:rPr>
                      <w:rFonts w:cs="Times New Roman"/>
                    </w:rPr>
                  </w:pPr>
                  <w:r>
                    <w:rPr>
                      <w:rFonts w:cs="Times New Roman"/>
                    </w:rPr>
                    <w:t xml:space="preserve">P ≤ 1,5kW </w:t>
                  </w:r>
                </w:p>
                <w:p w:rsidR="00676680" w:rsidRDefault="00A837E4">
                  <w:pPr>
                    <w:rPr>
                      <w:rFonts w:cs="Times New Roman"/>
                    </w:rPr>
                  </w:pPr>
                  <w:r>
                    <w:rPr>
                      <w:rFonts w:cs="Times New Roman"/>
                    </w:rPr>
                    <w:t xml:space="preserve">P &gt; 1,5kW </w:t>
                  </w:r>
                </w:p>
                <w:p w:rsidR="00676680" w:rsidRDefault="00A837E4">
                  <w:pPr>
                    <w:rPr>
                      <w:rFonts w:cs="Times New Roman"/>
                    </w:rPr>
                  </w:pPr>
                  <w:r>
                    <w:rPr>
                      <w:rFonts w:cs="Times New Roman"/>
                    </w:rPr>
                    <w:lastRenderedPageBreak/>
                    <w:t xml:space="preserve">(P = nettónafnaafl í </w:t>
                  </w:r>
                  <w:proofErr w:type="spellStart"/>
                  <w:r>
                    <w:rPr>
                      <w:rFonts w:cs="Times New Roman"/>
                    </w:rPr>
                    <w:t>kW</w:t>
                  </w:r>
                  <w:proofErr w:type="spellEnd"/>
                  <w:r>
                    <w:rPr>
                      <w:rFonts w:cs="Times New Roman"/>
                    </w:rPr>
                    <w:t xml:space="preserve">) </w:t>
                  </w:r>
                </w:p>
              </w:tc>
              <w:tc>
                <w:tcPr>
                  <w:tcW w:w="2275" w:type="dxa"/>
                </w:tcPr>
                <w:p w:rsidR="00676680" w:rsidRDefault="00A837E4">
                  <w:pPr>
                    <w:rPr>
                      <w:rFonts w:cs="Times New Roman"/>
                    </w:rPr>
                  </w:pPr>
                  <w:r>
                    <w:rPr>
                      <w:rFonts w:cs="Times New Roman"/>
                    </w:rPr>
                    <w:lastRenderedPageBreak/>
                    <w:t xml:space="preserve">107  </w:t>
                  </w:r>
                </w:p>
                <w:p w:rsidR="00676680" w:rsidRDefault="00A837E4">
                  <w:pPr>
                    <w:rPr>
                      <w:rFonts w:cs="Times New Roman"/>
                    </w:rPr>
                  </w:pPr>
                  <w:r>
                    <w:rPr>
                      <w:rFonts w:cs="Times New Roman"/>
                    </w:rPr>
                    <w:t>110</w:t>
                  </w:r>
                </w:p>
              </w:tc>
            </w:tr>
            <w:tr w:rsidR="00676680">
              <w:tc>
                <w:tcPr>
                  <w:tcW w:w="2274" w:type="dxa"/>
                </w:tcPr>
                <w:p w:rsidR="00676680" w:rsidRDefault="00A837E4">
                  <w:pPr>
                    <w:rPr>
                      <w:rFonts w:cs="Times New Roman"/>
                    </w:rPr>
                  </w:pPr>
                  <w:r>
                    <w:rPr>
                      <w:rFonts w:cs="Times New Roman"/>
                    </w:rPr>
                    <w:lastRenderedPageBreak/>
                    <w:t>Jarðvegstætari</w:t>
                  </w:r>
                </w:p>
              </w:tc>
              <w:tc>
                <w:tcPr>
                  <w:tcW w:w="2274" w:type="dxa"/>
                </w:tcPr>
                <w:p w:rsidR="00676680" w:rsidRDefault="00676680">
                  <w:pPr>
                    <w:rPr>
                      <w:rFonts w:cs="Times New Roman"/>
                    </w:rPr>
                  </w:pPr>
                </w:p>
              </w:tc>
              <w:tc>
                <w:tcPr>
                  <w:tcW w:w="2275" w:type="dxa"/>
                </w:tcPr>
                <w:p w:rsidR="00676680" w:rsidRDefault="00A837E4">
                  <w:pPr>
                    <w:rPr>
                      <w:rFonts w:cs="Times New Roman"/>
                    </w:rPr>
                  </w:pPr>
                  <w:r>
                    <w:rPr>
                      <w:rFonts w:cs="Times New Roman"/>
                    </w:rPr>
                    <w:t xml:space="preserve">93 </w:t>
                  </w:r>
                </w:p>
              </w:tc>
            </w:tr>
          </w:tbl>
          <w:p w:rsidR="00676680" w:rsidRDefault="00676680">
            <w:pPr>
              <w:rPr>
                <w:rFonts w:cs="Times New Roman"/>
              </w:rPr>
            </w:pPr>
          </w:p>
          <w:p w:rsidR="00676680" w:rsidRDefault="00A837E4">
            <w:r>
              <w:rPr>
                <w:b/>
              </w:rPr>
              <w:t>Staðfesting</w:t>
            </w:r>
            <w:r>
              <w:t xml:space="preserve">: Hávaði vélar skal sannreyndur samkvæmt kröfum </w:t>
            </w:r>
            <w:proofErr w:type="spellStart"/>
            <w:r>
              <w:t>ítilskipun</w:t>
            </w:r>
            <w:proofErr w:type="spellEnd"/>
            <w:r>
              <w:t xml:space="preserve"> (2000/14/EC) fyrir hávaða frá útitækjum. Hún skal vera CE merkt, hámarks hljóðstyrkur skal koma fram og samræmisyfirlýsing skal fylgja.</w:t>
            </w:r>
          </w:p>
        </w:tc>
        <w:tc>
          <w:tcPr>
            <w:tcW w:w="6946" w:type="dxa"/>
          </w:tcPr>
          <w:p w:rsidR="00676680" w:rsidRDefault="00A837E4">
            <w:pPr>
              <w:rPr>
                <w:b/>
              </w:rPr>
            </w:pPr>
            <w:r>
              <w:rPr>
                <w:b/>
              </w:rPr>
              <w:lastRenderedPageBreak/>
              <w:t>2. Hávaði</w:t>
            </w:r>
          </w:p>
          <w:p w:rsidR="00676680" w:rsidRDefault="00A837E4">
            <w:r>
              <w:t>Hávaðamörk véla skulu vera lægri en hér segir:</w:t>
            </w:r>
          </w:p>
          <w:tbl>
            <w:tblPr>
              <w:tblStyle w:val="TableGrid"/>
              <w:tblW w:w="6982" w:type="dxa"/>
              <w:tblLayout w:type="fixed"/>
              <w:tblLook w:val="04A0" w:firstRow="1" w:lastRow="0" w:firstColumn="1" w:lastColumn="0" w:noHBand="0" w:noVBand="1"/>
            </w:tblPr>
            <w:tblGrid>
              <w:gridCol w:w="2274"/>
              <w:gridCol w:w="2433"/>
              <w:gridCol w:w="2275"/>
            </w:tblGrid>
            <w:tr w:rsidR="00676680">
              <w:tc>
                <w:tcPr>
                  <w:tcW w:w="2274" w:type="dxa"/>
                </w:tcPr>
                <w:p w:rsidR="00676680" w:rsidRDefault="00A837E4">
                  <w:pPr>
                    <w:rPr>
                      <w:b/>
                    </w:rPr>
                  </w:pPr>
                  <w:r>
                    <w:rPr>
                      <w:b/>
                    </w:rPr>
                    <w:t>Gerð vélar</w:t>
                  </w:r>
                </w:p>
              </w:tc>
              <w:tc>
                <w:tcPr>
                  <w:tcW w:w="2433" w:type="dxa"/>
                </w:tcPr>
                <w:p w:rsidR="00676680" w:rsidRDefault="00A837E4">
                  <w:pPr>
                    <w:rPr>
                      <w:b/>
                    </w:rPr>
                  </w:pPr>
                  <w:r>
                    <w:rPr>
                      <w:b/>
                    </w:rPr>
                    <w:t>Viðmið</w:t>
                  </w:r>
                </w:p>
              </w:tc>
              <w:tc>
                <w:tcPr>
                  <w:tcW w:w="2275" w:type="dxa"/>
                </w:tcPr>
                <w:p w:rsidR="00676680" w:rsidRDefault="00A837E4">
                  <w:pPr>
                    <w:rPr>
                      <w:b/>
                    </w:rPr>
                  </w:pPr>
                  <w:r>
                    <w:rPr>
                      <w:b/>
                    </w:rPr>
                    <w:t xml:space="preserve">Leyfilegur hámarks </w:t>
                  </w:r>
                  <w:proofErr w:type="spellStart"/>
                  <w:r>
                    <w:rPr>
                      <w:b/>
                    </w:rPr>
                    <w:t>hljóðstyrkurLWA</w:t>
                  </w:r>
                  <w:proofErr w:type="spellEnd"/>
                  <w:r>
                    <w:rPr>
                      <w:b/>
                    </w:rPr>
                    <w:t xml:space="preserve"> (</w:t>
                  </w:r>
                  <w:proofErr w:type="spellStart"/>
                  <w:r>
                    <w:rPr>
                      <w:b/>
                    </w:rPr>
                    <w:t>dB</w:t>
                  </w:r>
                  <w:proofErr w:type="spellEnd"/>
                  <w:r>
                    <w:rPr>
                      <w:b/>
                    </w:rPr>
                    <w:t xml:space="preserve">/1pW) </w:t>
                  </w:r>
                </w:p>
              </w:tc>
            </w:tr>
            <w:tr w:rsidR="00676680">
              <w:tc>
                <w:tcPr>
                  <w:tcW w:w="2274" w:type="dxa"/>
                </w:tcPr>
                <w:p w:rsidR="00676680" w:rsidRDefault="00A837E4">
                  <w:r>
                    <w:t>Sláttuvél (einnig sláttutraktor)</w:t>
                  </w:r>
                </w:p>
              </w:tc>
              <w:tc>
                <w:tcPr>
                  <w:tcW w:w="2433" w:type="dxa"/>
                </w:tcPr>
                <w:p w:rsidR="00676680" w:rsidRDefault="00A837E4">
                  <w:r>
                    <w:t xml:space="preserve">L ≤ 50 </w:t>
                  </w:r>
                  <w:proofErr w:type="spellStart"/>
                  <w:r>
                    <w:t>cm</w:t>
                  </w:r>
                  <w:proofErr w:type="spellEnd"/>
                </w:p>
                <w:p w:rsidR="00676680" w:rsidRDefault="00A837E4">
                  <w:r>
                    <w:t xml:space="preserve">50 &lt; L ≤  120 </w:t>
                  </w:r>
                  <w:proofErr w:type="spellStart"/>
                  <w:r>
                    <w:t>cm</w:t>
                  </w:r>
                  <w:proofErr w:type="spellEnd"/>
                </w:p>
                <w:p w:rsidR="00676680" w:rsidRDefault="00A837E4">
                  <w:r>
                    <w:t xml:space="preserve">L &gt; 120 </w:t>
                  </w:r>
                  <w:proofErr w:type="spellStart"/>
                  <w:r>
                    <w:t>cm</w:t>
                  </w:r>
                  <w:proofErr w:type="spellEnd"/>
                </w:p>
                <w:p w:rsidR="00676680" w:rsidRDefault="00A837E4">
                  <w:r>
                    <w:t xml:space="preserve">(L = sláttubreidd) </w:t>
                  </w:r>
                </w:p>
              </w:tc>
              <w:tc>
                <w:tcPr>
                  <w:tcW w:w="2275" w:type="dxa"/>
                </w:tcPr>
                <w:p w:rsidR="00676680" w:rsidRDefault="00A837E4">
                  <w:r>
                    <w:t xml:space="preserve">92 </w:t>
                  </w:r>
                </w:p>
                <w:p w:rsidR="00676680" w:rsidRDefault="00A837E4">
                  <w:r>
                    <w:t xml:space="preserve">96 </w:t>
                  </w:r>
                </w:p>
                <w:p w:rsidR="00676680" w:rsidRDefault="00A837E4">
                  <w:r>
                    <w:t>101</w:t>
                  </w:r>
                </w:p>
              </w:tc>
            </w:tr>
            <w:tr w:rsidR="00676680">
              <w:tc>
                <w:tcPr>
                  <w:tcW w:w="2274" w:type="dxa"/>
                </w:tcPr>
                <w:p w:rsidR="00676680" w:rsidRDefault="00A837E4">
                  <w:r>
                    <w:rPr>
                      <w:rFonts w:cs="Times New Roman"/>
                    </w:rPr>
                    <w:lastRenderedPageBreak/>
                    <w:t>Jarðvegslosari</w:t>
                  </w:r>
                </w:p>
              </w:tc>
              <w:tc>
                <w:tcPr>
                  <w:tcW w:w="2433" w:type="dxa"/>
                </w:tcPr>
                <w:p w:rsidR="00676680" w:rsidRDefault="00A837E4">
                  <w:r>
                    <w:t>brunahreyfill</w:t>
                  </w:r>
                </w:p>
                <w:p w:rsidR="00676680" w:rsidRDefault="00A837E4">
                  <w:r>
                    <w:t xml:space="preserve">(P = </w:t>
                  </w:r>
                  <w:r>
                    <w:rPr>
                      <w:rFonts w:cs="Times New Roman"/>
                    </w:rPr>
                    <w:t xml:space="preserve">nettónafnafl (e. net </w:t>
                  </w:r>
                  <w:proofErr w:type="spellStart"/>
                  <w:r>
                    <w:rPr>
                      <w:rFonts w:cs="Times New Roman"/>
                    </w:rPr>
                    <w:t>ratedpower</w:t>
                  </w:r>
                  <w:proofErr w:type="spellEnd"/>
                  <w:r>
                    <w:rPr>
                      <w:rFonts w:cs="Times New Roman"/>
                    </w:rPr>
                    <w:t xml:space="preserve">) í </w:t>
                  </w:r>
                  <w:proofErr w:type="spellStart"/>
                  <w:r>
                    <w:rPr>
                      <w:rFonts w:cs="Times New Roman"/>
                    </w:rPr>
                    <w:t>kW</w:t>
                  </w:r>
                  <w:proofErr w:type="spellEnd"/>
                  <w:r>
                    <w:t xml:space="preserve">) </w:t>
                  </w:r>
                </w:p>
              </w:tc>
              <w:tc>
                <w:tcPr>
                  <w:tcW w:w="2275" w:type="dxa"/>
                </w:tcPr>
                <w:p w:rsidR="00676680" w:rsidRDefault="00A837E4">
                  <w:r>
                    <w:t xml:space="preserve">97 + 2 </w:t>
                  </w:r>
                  <w:proofErr w:type="spellStart"/>
                  <w:r>
                    <w:t>lg</w:t>
                  </w:r>
                  <w:proofErr w:type="spellEnd"/>
                  <w:r>
                    <w:t xml:space="preserve"> P</w:t>
                  </w:r>
                </w:p>
              </w:tc>
            </w:tr>
            <w:tr w:rsidR="00676680">
              <w:tc>
                <w:tcPr>
                  <w:tcW w:w="2274" w:type="dxa"/>
                </w:tcPr>
                <w:p w:rsidR="00676680" w:rsidRDefault="00A837E4">
                  <w:r>
                    <w:t>Sláttuorf fyrir runna</w:t>
                  </w:r>
                </w:p>
              </w:tc>
              <w:tc>
                <w:tcPr>
                  <w:tcW w:w="2433" w:type="dxa"/>
                </w:tcPr>
                <w:p w:rsidR="00676680" w:rsidRDefault="00A837E4">
                  <w:r>
                    <w:t xml:space="preserve">P ≤ 1,5kW </w:t>
                  </w:r>
                </w:p>
                <w:p w:rsidR="00676680" w:rsidRDefault="00A837E4">
                  <w:r>
                    <w:t xml:space="preserve">P &gt; 1,5kW </w:t>
                  </w:r>
                </w:p>
                <w:p w:rsidR="00676680" w:rsidRDefault="00A837E4">
                  <w:r>
                    <w:t xml:space="preserve">(P = </w:t>
                  </w:r>
                  <w:r>
                    <w:rPr>
                      <w:rFonts w:cs="Times New Roman"/>
                    </w:rPr>
                    <w:t xml:space="preserve">nettónafnafl í </w:t>
                  </w:r>
                  <w:proofErr w:type="spellStart"/>
                  <w:r>
                    <w:rPr>
                      <w:rFonts w:cs="Times New Roman"/>
                    </w:rPr>
                    <w:t>kW</w:t>
                  </w:r>
                  <w:proofErr w:type="spellEnd"/>
                  <w:r>
                    <w:t xml:space="preserve">) </w:t>
                  </w:r>
                </w:p>
              </w:tc>
              <w:tc>
                <w:tcPr>
                  <w:tcW w:w="2275" w:type="dxa"/>
                </w:tcPr>
                <w:p w:rsidR="00676680" w:rsidRDefault="00A837E4">
                  <w:r>
                    <w:t xml:space="preserve">105 </w:t>
                  </w:r>
                </w:p>
                <w:p w:rsidR="00676680" w:rsidRDefault="00A837E4">
                  <w:r>
                    <w:t xml:space="preserve">108 </w:t>
                  </w:r>
                </w:p>
              </w:tc>
            </w:tr>
            <w:tr w:rsidR="00676680">
              <w:tc>
                <w:tcPr>
                  <w:tcW w:w="2274" w:type="dxa"/>
                </w:tcPr>
                <w:p w:rsidR="00676680" w:rsidRDefault="00A837E4">
                  <w:r>
                    <w:rPr>
                      <w:rFonts w:cs="Times New Roman"/>
                    </w:rPr>
                    <w:t>Keðjusög</w:t>
                  </w:r>
                </w:p>
              </w:tc>
              <w:tc>
                <w:tcPr>
                  <w:tcW w:w="2433" w:type="dxa"/>
                </w:tcPr>
                <w:p w:rsidR="00676680" w:rsidRDefault="00A837E4">
                  <w:r>
                    <w:t>Rafmótor</w:t>
                  </w:r>
                </w:p>
                <w:p w:rsidR="00676680" w:rsidRDefault="00A837E4">
                  <w:r>
                    <w:t>Brunahreyfill</w:t>
                  </w:r>
                </w:p>
                <w:p w:rsidR="00676680" w:rsidRDefault="00A837E4">
                  <w:r>
                    <w:t xml:space="preserve">(P = </w:t>
                  </w:r>
                  <w:r>
                    <w:rPr>
                      <w:rFonts w:cs="Times New Roman"/>
                    </w:rPr>
                    <w:t xml:space="preserve">nettónafnafl í </w:t>
                  </w:r>
                  <w:proofErr w:type="spellStart"/>
                  <w:r>
                    <w:rPr>
                      <w:rFonts w:cs="Times New Roman"/>
                    </w:rPr>
                    <w:t>kW</w:t>
                  </w:r>
                  <w:proofErr w:type="spellEnd"/>
                  <w:r>
                    <w:t>)</w:t>
                  </w:r>
                </w:p>
              </w:tc>
              <w:tc>
                <w:tcPr>
                  <w:tcW w:w="2275" w:type="dxa"/>
                </w:tcPr>
                <w:p w:rsidR="00676680" w:rsidRDefault="00A837E4">
                  <w:r>
                    <w:t xml:space="preserve">102 </w:t>
                  </w:r>
                </w:p>
                <w:p w:rsidR="00676680" w:rsidRDefault="00A837E4">
                  <w:r>
                    <w:t>106 + 2 P</w:t>
                  </w:r>
                </w:p>
              </w:tc>
            </w:tr>
            <w:tr w:rsidR="00676680">
              <w:tc>
                <w:tcPr>
                  <w:tcW w:w="2274" w:type="dxa"/>
                </w:tcPr>
                <w:p w:rsidR="00676680" w:rsidRDefault="00A837E4">
                  <w:pPr>
                    <w:rPr>
                      <w:rFonts w:cs="Times New Roman"/>
                    </w:rPr>
                  </w:pPr>
                  <w:r>
                    <w:rPr>
                      <w:rFonts w:cs="Times New Roman"/>
                    </w:rPr>
                    <w:t>Sláttuorf</w:t>
                  </w:r>
                </w:p>
                <w:p w:rsidR="00676680" w:rsidRDefault="00676680"/>
              </w:tc>
              <w:tc>
                <w:tcPr>
                  <w:tcW w:w="2433" w:type="dxa"/>
                </w:tcPr>
                <w:p w:rsidR="00676680" w:rsidRDefault="00A837E4">
                  <w:r>
                    <w:t>Rafmótor</w:t>
                  </w:r>
                </w:p>
                <w:p w:rsidR="00676680" w:rsidRDefault="00A837E4">
                  <w:r>
                    <w:t>Brunahreyfill</w:t>
                  </w:r>
                </w:p>
              </w:tc>
              <w:tc>
                <w:tcPr>
                  <w:tcW w:w="2275" w:type="dxa"/>
                </w:tcPr>
                <w:p w:rsidR="00676680" w:rsidRDefault="00A837E4">
                  <w:r>
                    <w:t xml:space="preserve">92 </w:t>
                  </w:r>
                </w:p>
                <w:p w:rsidR="00676680" w:rsidRDefault="00A837E4">
                  <w:r>
                    <w:t xml:space="preserve">102 </w:t>
                  </w:r>
                </w:p>
              </w:tc>
            </w:tr>
            <w:tr w:rsidR="00676680">
              <w:tc>
                <w:tcPr>
                  <w:tcW w:w="2274" w:type="dxa"/>
                </w:tcPr>
                <w:p w:rsidR="00676680" w:rsidRDefault="00A837E4">
                  <w:r>
                    <w:rPr>
                      <w:rFonts w:cs="Times New Roman"/>
                    </w:rPr>
                    <w:t>Hekkklippur og runnasnyrtir</w:t>
                  </w:r>
                </w:p>
              </w:tc>
              <w:tc>
                <w:tcPr>
                  <w:tcW w:w="2433" w:type="dxa"/>
                </w:tcPr>
                <w:p w:rsidR="00676680" w:rsidRDefault="00A837E4">
                  <w:r>
                    <w:t>Rafmótor</w:t>
                  </w:r>
                </w:p>
                <w:p w:rsidR="00676680" w:rsidRDefault="00A837E4">
                  <w:r>
                    <w:t>Brunahreyfill</w:t>
                  </w:r>
                </w:p>
              </w:tc>
              <w:tc>
                <w:tcPr>
                  <w:tcW w:w="2275" w:type="dxa"/>
                </w:tcPr>
                <w:p w:rsidR="00676680" w:rsidRDefault="00A837E4">
                  <w:r>
                    <w:t xml:space="preserve">94 </w:t>
                  </w:r>
                </w:p>
                <w:p w:rsidR="00676680" w:rsidRDefault="00A837E4">
                  <w:r>
                    <w:t xml:space="preserve">101 </w:t>
                  </w:r>
                </w:p>
              </w:tc>
            </w:tr>
            <w:tr w:rsidR="00676680">
              <w:tc>
                <w:tcPr>
                  <w:tcW w:w="2274" w:type="dxa"/>
                </w:tcPr>
                <w:p w:rsidR="00676680" w:rsidRDefault="00A837E4">
                  <w:r>
                    <w:t>Laufsuga</w:t>
                  </w:r>
                </w:p>
                <w:p w:rsidR="00676680" w:rsidRDefault="00676680"/>
              </w:tc>
              <w:tc>
                <w:tcPr>
                  <w:tcW w:w="2433" w:type="dxa"/>
                </w:tcPr>
                <w:p w:rsidR="00676680" w:rsidRDefault="00A837E4">
                  <w:r>
                    <w:t>Rafmótor</w:t>
                  </w:r>
                </w:p>
                <w:p w:rsidR="00676680" w:rsidRDefault="00A837E4">
                  <w:r>
                    <w:t>Brunahreyfill</w:t>
                  </w:r>
                </w:p>
              </w:tc>
              <w:tc>
                <w:tcPr>
                  <w:tcW w:w="2275" w:type="dxa"/>
                </w:tcPr>
                <w:p w:rsidR="00676680" w:rsidRDefault="00A837E4">
                  <w:r>
                    <w:t>97</w:t>
                  </w:r>
                </w:p>
                <w:p w:rsidR="00676680" w:rsidRDefault="00A837E4">
                  <w:r>
                    <w:t>102</w:t>
                  </w:r>
                </w:p>
              </w:tc>
            </w:tr>
            <w:tr w:rsidR="00676680">
              <w:tc>
                <w:tcPr>
                  <w:tcW w:w="2274" w:type="dxa"/>
                </w:tcPr>
                <w:p w:rsidR="00676680" w:rsidRDefault="00A837E4">
                  <w:r>
                    <w:t>Laufblásari</w:t>
                  </w:r>
                </w:p>
              </w:tc>
              <w:tc>
                <w:tcPr>
                  <w:tcW w:w="2433" w:type="dxa"/>
                </w:tcPr>
                <w:p w:rsidR="00676680" w:rsidRDefault="00A837E4">
                  <w:r>
                    <w:t>Rafmótor</w:t>
                  </w:r>
                </w:p>
                <w:p w:rsidR="00676680" w:rsidRDefault="00A837E4">
                  <w:r>
                    <w:t>Brunahreyfill</w:t>
                  </w:r>
                </w:p>
              </w:tc>
              <w:tc>
                <w:tcPr>
                  <w:tcW w:w="2275" w:type="dxa"/>
                </w:tcPr>
                <w:p w:rsidR="00676680" w:rsidRDefault="00A837E4">
                  <w:r>
                    <w:t>97</w:t>
                  </w:r>
                </w:p>
                <w:p w:rsidR="00676680" w:rsidRDefault="00A837E4">
                  <w:r>
                    <w:t>103</w:t>
                  </w:r>
                </w:p>
              </w:tc>
            </w:tr>
            <w:tr w:rsidR="00676680">
              <w:tc>
                <w:tcPr>
                  <w:tcW w:w="2274" w:type="dxa"/>
                </w:tcPr>
                <w:p w:rsidR="00676680" w:rsidRDefault="00A837E4">
                  <w:pPr>
                    <w:rPr>
                      <w:rFonts w:cs="Times New Roman"/>
                    </w:rPr>
                  </w:pPr>
                  <w:r>
                    <w:rPr>
                      <w:rFonts w:cs="Times New Roman"/>
                    </w:rPr>
                    <w:t>Sláttugreiða</w:t>
                  </w:r>
                </w:p>
                <w:p w:rsidR="00676680" w:rsidRDefault="00676680"/>
              </w:tc>
              <w:tc>
                <w:tcPr>
                  <w:tcW w:w="2433" w:type="dxa"/>
                </w:tcPr>
                <w:p w:rsidR="00676680" w:rsidRDefault="00A837E4">
                  <w:r>
                    <w:t xml:space="preserve">P ≤ 1,5kW </w:t>
                  </w:r>
                </w:p>
                <w:p w:rsidR="00676680" w:rsidRDefault="00A837E4">
                  <w:r>
                    <w:t xml:space="preserve">P &gt; 1,5kW </w:t>
                  </w:r>
                </w:p>
                <w:p w:rsidR="00676680" w:rsidRDefault="00A837E4">
                  <w:r>
                    <w:t xml:space="preserve">(P = </w:t>
                  </w:r>
                  <w:r>
                    <w:rPr>
                      <w:rFonts w:cs="Times New Roman"/>
                    </w:rPr>
                    <w:t xml:space="preserve">nettónafnaafl í </w:t>
                  </w:r>
                  <w:proofErr w:type="spellStart"/>
                  <w:r>
                    <w:rPr>
                      <w:rFonts w:cs="Times New Roman"/>
                    </w:rPr>
                    <w:t>kW</w:t>
                  </w:r>
                  <w:proofErr w:type="spellEnd"/>
                  <w:r>
                    <w:t xml:space="preserve">) </w:t>
                  </w:r>
                </w:p>
              </w:tc>
              <w:tc>
                <w:tcPr>
                  <w:tcW w:w="2275" w:type="dxa"/>
                </w:tcPr>
                <w:p w:rsidR="00676680" w:rsidRDefault="00A837E4">
                  <w:r>
                    <w:t>105</w:t>
                  </w:r>
                </w:p>
                <w:p w:rsidR="00676680" w:rsidRDefault="00A837E4">
                  <w:r>
                    <w:t>108</w:t>
                  </w:r>
                </w:p>
              </w:tc>
            </w:tr>
            <w:tr w:rsidR="00676680">
              <w:tc>
                <w:tcPr>
                  <w:tcW w:w="2274" w:type="dxa"/>
                </w:tcPr>
                <w:p w:rsidR="00676680" w:rsidRDefault="00A837E4">
                  <w:r>
                    <w:rPr>
                      <w:rFonts w:cs="Times New Roman"/>
                    </w:rPr>
                    <w:lastRenderedPageBreak/>
                    <w:t>Jarðvegstætari</w:t>
                  </w:r>
                </w:p>
              </w:tc>
              <w:tc>
                <w:tcPr>
                  <w:tcW w:w="2433" w:type="dxa"/>
                </w:tcPr>
                <w:p w:rsidR="00676680" w:rsidRDefault="00676680"/>
              </w:tc>
              <w:tc>
                <w:tcPr>
                  <w:tcW w:w="2275" w:type="dxa"/>
                </w:tcPr>
                <w:p w:rsidR="00676680" w:rsidRDefault="00A837E4">
                  <w:r>
                    <w:t>91</w:t>
                  </w:r>
                </w:p>
              </w:tc>
            </w:tr>
          </w:tbl>
          <w:p w:rsidR="00676680" w:rsidRDefault="00676680">
            <w:pPr>
              <w:rPr>
                <w:rFonts w:cs="Times New Roman"/>
              </w:rPr>
            </w:pPr>
          </w:p>
          <w:p w:rsidR="00676680" w:rsidRDefault="00A837E4">
            <w:r>
              <w:rPr>
                <w:b/>
              </w:rPr>
              <w:t>Staðfesting</w:t>
            </w:r>
            <w:r>
              <w:t xml:space="preserve">: Hávaði vélar skal sannreyndur samkvæmt kröfum </w:t>
            </w:r>
            <w:proofErr w:type="spellStart"/>
            <w:r>
              <w:t>ítilskipun</w:t>
            </w:r>
            <w:proofErr w:type="spellEnd"/>
            <w:r>
              <w:t xml:space="preserve"> (2000/14/EC) fyrir hávaða frá útitækjum. Hún skal vera CE merkt, hámarks hljóðstyrkur skal koma fram og samræmisyfirlýsing skal fylgja.</w:t>
            </w:r>
          </w:p>
        </w:tc>
      </w:tr>
      <w:tr w:rsidR="00676680">
        <w:tc>
          <w:tcPr>
            <w:tcW w:w="7054" w:type="dxa"/>
          </w:tcPr>
          <w:p w:rsidR="00676680" w:rsidRDefault="00676680"/>
        </w:tc>
        <w:tc>
          <w:tcPr>
            <w:tcW w:w="6946" w:type="dxa"/>
          </w:tcPr>
          <w:p w:rsidR="00676680" w:rsidRDefault="00A837E4">
            <w:pPr>
              <w:rPr>
                <w:b/>
              </w:rPr>
            </w:pPr>
            <w:r>
              <w:rPr>
                <w:b/>
              </w:rPr>
              <w:t>3. Smurolíur og eldsneyti</w:t>
            </w:r>
            <w:r w:rsidR="00FF76C9">
              <w:rPr>
                <w:b/>
              </w:rPr>
              <w:t xml:space="preserve"> </w:t>
            </w:r>
          </w:p>
          <w:p w:rsidR="00676680" w:rsidRDefault="00A837E4">
            <w:r>
              <w:t xml:space="preserve">3.1 Vélar skulu þola niðurbrjótanlegar smurolíur (fyrir tvígengisvélar) eða endurnýjaðar (e. </w:t>
            </w:r>
            <w:proofErr w:type="spellStart"/>
            <w:r>
              <w:t>regenerated</w:t>
            </w:r>
            <w:proofErr w:type="spellEnd"/>
            <w:r>
              <w:t xml:space="preserve">) smurolíur (fyrir fjórgengisvélar). </w:t>
            </w:r>
          </w:p>
          <w:p w:rsidR="00676680" w:rsidRDefault="00A837E4">
            <w:r>
              <w:rPr>
                <w:b/>
              </w:rPr>
              <w:t>Staðfesting</w:t>
            </w:r>
            <w:r>
              <w:t>: Bjóðandi skal leggja fram undirritaða yfirlýsingu um að ofangreind krafa verði uppfyllt.</w:t>
            </w:r>
          </w:p>
          <w:p w:rsidR="00676680" w:rsidRDefault="00A837E4">
            <w:r>
              <w:t>3.2 Eldsneytisnotkun fjórgengisvéla undir 50% álagi skal ekki vera meiri en 500-g/</w:t>
            </w:r>
            <w:proofErr w:type="spellStart"/>
            <w:r>
              <w:t>kWh</w:t>
            </w:r>
            <w:proofErr w:type="spellEnd"/>
            <w:r w:rsidR="00F26F0B">
              <w:t xml:space="preserve"> </w:t>
            </w:r>
            <w:r>
              <w:t xml:space="preserve">eldsneyti, mælt samkvæmt ISO 8178 eða sambærilegu. </w:t>
            </w:r>
          </w:p>
          <w:p w:rsidR="00676680" w:rsidRDefault="00A837E4">
            <w:r>
              <w:rPr>
                <w:b/>
              </w:rPr>
              <w:t>Staðfesting</w:t>
            </w:r>
            <w:r>
              <w:t>: Leggja skal fram niðurstöður ISO prófsins eða sambærilegt. Vélar sem eru umhverfismerktar (Tegund 1) og uppfylla ofangreindar kröfur teljast samræmast viðmiðunum eru fullnægjandi staðfesting. Önnur viðeigandi sönnunargögn, t.d. tæknilýsingar framleiðanda eða prófunarskýrsla óháðs aðila, verða tekin gild.</w:t>
            </w:r>
          </w:p>
        </w:tc>
      </w:tr>
      <w:tr w:rsidR="00676680">
        <w:tc>
          <w:tcPr>
            <w:tcW w:w="7054" w:type="dxa"/>
          </w:tcPr>
          <w:p w:rsidR="00676680" w:rsidRDefault="00676680"/>
        </w:tc>
        <w:tc>
          <w:tcPr>
            <w:tcW w:w="6946" w:type="dxa"/>
          </w:tcPr>
          <w:p w:rsidR="00676680" w:rsidRDefault="00A837E4">
            <w:pPr>
              <w:rPr>
                <w:b/>
              </w:rPr>
            </w:pPr>
            <w:r>
              <w:rPr>
                <w:b/>
              </w:rPr>
              <w:t>4. Vélahlutar og efni í vélum</w:t>
            </w:r>
          </w:p>
          <w:p w:rsidR="00676680" w:rsidRDefault="00A837E4">
            <w:r>
              <w:t xml:space="preserve">4.1 Vélin skal vera hönnuð þannig að við áfyllingu eða hreinsun sullast ekki eldsneyti eða lekur. Við reglulega hreinsun skal olía ekki leka af vélinni né við olíuskipti. </w:t>
            </w:r>
          </w:p>
          <w:p w:rsidR="00676680" w:rsidRDefault="00A837E4">
            <w:r>
              <w:lastRenderedPageBreak/>
              <w:t xml:space="preserve">4.2 Plastefni sem vega meira en 50 g skulu sérstaklega merkt samkvæmt ISO 11469 eða sambærilegt. Undanskildir eru rafkaplar. </w:t>
            </w:r>
          </w:p>
          <w:p w:rsidR="00676680" w:rsidRDefault="00A837E4">
            <w:r>
              <w:t xml:space="preserve">4.3 Plastefni skulu ekki innihalda kadmíum, blý, kvikasilfur eða efnasambönd þeirra. </w:t>
            </w:r>
          </w:p>
          <w:p w:rsidR="00676680" w:rsidRDefault="00A837E4">
            <w:r>
              <w:t xml:space="preserve">4.4 Efni í </w:t>
            </w:r>
            <w:proofErr w:type="spellStart"/>
            <w:r>
              <w:t>yfirborðsmeðhöndlunskulu</w:t>
            </w:r>
            <w:proofErr w:type="spellEnd"/>
            <w:r>
              <w:t xml:space="preserve"> ekki innihalda litarefni eða íblöndunarefni sem innihalda blý, kadmíum, króm, kvikasilfur eða efnasambönd þeirra. </w:t>
            </w:r>
          </w:p>
          <w:p w:rsidR="00676680" w:rsidRDefault="00A837E4">
            <w:r>
              <w:rPr>
                <w:b/>
              </w:rPr>
              <w:t>Staðfesting</w:t>
            </w:r>
            <w:r>
              <w:t>:  Bjóðandi skal leggja fram undirritaða yfirlýsingu um að ofangreind krafa verði uppfyllt. Vélar sem eru umhverfismerktar (Tegund 1) og uppfylla ofangreindar kröfur teljast samræmast viðmiðunum eru fullnægjandi staðfesting. Önnur viðeigandi sönnunargögn, t.d. tæknilýsingar framleiðanda eða prófunarskýrsla óháðs aðila, verða tekin gild.</w:t>
            </w:r>
          </w:p>
        </w:tc>
      </w:tr>
      <w:tr w:rsidR="00676680">
        <w:tc>
          <w:tcPr>
            <w:tcW w:w="7054" w:type="dxa"/>
            <w:shd w:val="clear" w:color="auto" w:fill="92D050"/>
          </w:tcPr>
          <w:p w:rsidR="00676680" w:rsidRDefault="00A837E4">
            <w:pPr>
              <w:spacing w:line="276" w:lineRule="auto"/>
              <w:rPr>
                <w:b/>
              </w:rPr>
            </w:pPr>
            <w:r>
              <w:rPr>
                <w:b/>
              </w:rPr>
              <w:lastRenderedPageBreak/>
              <w:t>MATSVIÐMIÐ</w:t>
            </w:r>
          </w:p>
        </w:tc>
        <w:tc>
          <w:tcPr>
            <w:tcW w:w="6946" w:type="dxa"/>
            <w:shd w:val="clear" w:color="auto" w:fill="92D050"/>
          </w:tcPr>
          <w:p w:rsidR="00676680" w:rsidRDefault="00A837E4">
            <w:pPr>
              <w:spacing w:line="276" w:lineRule="auto"/>
              <w:rPr>
                <w:b/>
              </w:rPr>
            </w:pPr>
            <w:r>
              <w:rPr>
                <w:b/>
              </w:rPr>
              <w:t>MATSVIÐMIÐ</w:t>
            </w:r>
          </w:p>
        </w:tc>
      </w:tr>
      <w:tr w:rsidR="00676680">
        <w:tc>
          <w:tcPr>
            <w:tcW w:w="7054" w:type="dxa"/>
          </w:tcPr>
          <w:p w:rsidR="00676680" w:rsidRDefault="00A837E4">
            <w:pPr>
              <w:rPr>
                <w:b/>
              </w:rPr>
            </w:pPr>
            <w:r>
              <w:rPr>
                <w:b/>
              </w:rPr>
              <w:t>Aukastig eru gefin fyrir eftirfarandi:</w:t>
            </w:r>
          </w:p>
          <w:p w:rsidR="00676680" w:rsidRDefault="00A837E4">
            <w:pPr>
              <w:rPr>
                <w:b/>
              </w:rPr>
            </w:pPr>
            <w:r>
              <w:rPr>
                <w:b/>
              </w:rPr>
              <w:t xml:space="preserve">1. Hljóðlátar vélar </w:t>
            </w:r>
          </w:p>
          <w:p w:rsidR="00676680" w:rsidRDefault="00A837E4">
            <w:r>
              <w:t xml:space="preserve">Vélar sem gefa frá sér minni hávaða en sem nemur leyfilegu hámarki. </w:t>
            </w:r>
          </w:p>
          <w:p w:rsidR="00676680" w:rsidRDefault="00A837E4">
            <w:r>
              <w:rPr>
                <w:b/>
              </w:rPr>
              <w:t>Staðfesting</w:t>
            </w:r>
            <w:r>
              <w:t>: Bjóðandi skal leggja fram niðurstöður tilraunaprófanna eða önnur tæknileg skjöl sem sýna hávaðastig skv. þeim mæliaðferðum sem tilgreindar eru í skilyrðunum eða sambærilegt.</w:t>
            </w:r>
          </w:p>
        </w:tc>
        <w:tc>
          <w:tcPr>
            <w:tcW w:w="6946" w:type="dxa"/>
          </w:tcPr>
          <w:p w:rsidR="00676680" w:rsidRDefault="00A837E4">
            <w:pPr>
              <w:rPr>
                <w:b/>
              </w:rPr>
            </w:pPr>
            <w:r>
              <w:rPr>
                <w:b/>
              </w:rPr>
              <w:t>Aukastig eru gefin fyrir eftirfarandi:</w:t>
            </w:r>
          </w:p>
          <w:p w:rsidR="00676680" w:rsidRDefault="00A837E4">
            <w:pPr>
              <w:rPr>
                <w:b/>
              </w:rPr>
            </w:pPr>
            <w:r>
              <w:rPr>
                <w:b/>
              </w:rPr>
              <w:t xml:space="preserve">1. Hljóðlátar vélar </w:t>
            </w:r>
          </w:p>
          <w:p w:rsidR="00676680" w:rsidRDefault="00A837E4">
            <w:r>
              <w:t xml:space="preserve">Vélar sem gefa frá sér minni hávaða en sem nemur leyfilegu hámarki. </w:t>
            </w:r>
          </w:p>
          <w:p w:rsidR="00676680" w:rsidRDefault="00A837E4">
            <w:r>
              <w:rPr>
                <w:b/>
              </w:rPr>
              <w:t>Staðfesting</w:t>
            </w:r>
            <w:r>
              <w:t>: Bjóðandi skal leggja fram niðurstöður tilraunaprófanna eða önnur tæknileg skjöl sem sýna hávaðastig skv. þeim mæliaðferðum sem tilgreindar eru í skilyrðunum eða sambærilegt.</w:t>
            </w:r>
          </w:p>
        </w:tc>
      </w:tr>
      <w:tr w:rsidR="00676680">
        <w:tc>
          <w:tcPr>
            <w:tcW w:w="7054" w:type="dxa"/>
          </w:tcPr>
          <w:p w:rsidR="00676680" w:rsidRDefault="00A837E4">
            <w:pPr>
              <w:rPr>
                <w:b/>
              </w:rPr>
            </w:pPr>
            <w:r>
              <w:rPr>
                <w:b/>
              </w:rPr>
              <w:t>2. Útblástur</w:t>
            </w:r>
          </w:p>
          <w:p w:rsidR="00676680" w:rsidRDefault="00A837E4">
            <w:r>
              <w:t xml:space="preserve">Vélar sem hafa minni útblástur en krafist er í tilskipun 97/68/EC.  </w:t>
            </w:r>
          </w:p>
          <w:p w:rsidR="00676680" w:rsidRDefault="00A837E4">
            <w:r>
              <w:rPr>
                <w:b/>
              </w:rPr>
              <w:t>Staðfesting</w:t>
            </w:r>
            <w:r>
              <w:t>: Mælingar á útblæstri véla skulu vera gerðar í samræmi við almenn viðmið í ESB tilskipun nr. 97/68/EC og á rannsóknarstofu sem uppfyllir skilyrði samkvæmt sömu tilskipun. Bjóðandi skal leggja fram niðurstöður prófana eða sambærileg tæknileg gögn.</w:t>
            </w:r>
          </w:p>
        </w:tc>
        <w:tc>
          <w:tcPr>
            <w:tcW w:w="6946" w:type="dxa"/>
          </w:tcPr>
          <w:p w:rsidR="00676680" w:rsidRDefault="00A837E4">
            <w:pPr>
              <w:rPr>
                <w:b/>
              </w:rPr>
            </w:pPr>
            <w:r>
              <w:rPr>
                <w:b/>
              </w:rPr>
              <w:t>2. Útblástur</w:t>
            </w:r>
          </w:p>
          <w:p w:rsidR="00676680" w:rsidRDefault="00A837E4">
            <w:r>
              <w:t xml:space="preserve">Vélar sem hafa minni útblástur en krafist er í tilskipun 97/68/EC.  </w:t>
            </w:r>
          </w:p>
          <w:p w:rsidR="00676680" w:rsidRDefault="00A837E4">
            <w:r>
              <w:rPr>
                <w:b/>
              </w:rPr>
              <w:t>Staðfesting</w:t>
            </w:r>
            <w:r>
              <w:t>: Mælingar á útblæstri véla skulu vera gerðar í samræmi við almenn viðmið í ESB tilskipun nr. 97/68/EC og á rannsóknarstofu sem uppfyllir skilyrði samkvæmt sömu tilskipun. Bjóðandi skal leggja fram niðurstöður prófana eða sambærileg tæknileg gögn.</w:t>
            </w:r>
          </w:p>
        </w:tc>
      </w:tr>
    </w:tbl>
    <w:p w:rsidR="00676680" w:rsidRDefault="00A837E4">
      <w:pPr>
        <w:pStyle w:val="Heading1"/>
      </w:pPr>
      <w:r>
        <w:lastRenderedPageBreak/>
        <w:t>SMUROLÍUR VÉLA (</w:t>
      </w:r>
      <w:r w:rsidR="00FF76C9">
        <w:t xml:space="preserve">Á EKKI VIÐ </w:t>
      </w:r>
      <w:r>
        <w:t>SMUROLÍUR FYRIR FJÓRGENGISVÉLAR )</w:t>
      </w:r>
    </w:p>
    <w:tbl>
      <w:tblPr>
        <w:tblStyle w:val="TableGrid1"/>
        <w:tblW w:w="14000" w:type="dxa"/>
        <w:tblLayout w:type="fixed"/>
        <w:tblLook w:val="04A0" w:firstRow="1" w:lastRow="0" w:firstColumn="1" w:lastColumn="0" w:noHBand="0" w:noVBand="1"/>
      </w:tblPr>
      <w:tblGrid>
        <w:gridCol w:w="7054"/>
        <w:gridCol w:w="6946"/>
      </w:tblGrid>
      <w:tr w:rsidR="00676680">
        <w:tc>
          <w:tcPr>
            <w:tcW w:w="7054" w:type="dxa"/>
            <w:shd w:val="clear" w:color="auto" w:fill="FFFF00"/>
          </w:tcPr>
          <w:p w:rsidR="00676680" w:rsidRDefault="00A837E4">
            <w:pPr>
              <w:pStyle w:val="Titill"/>
            </w:pPr>
            <w:r>
              <w:t>Grunnviðmið</w:t>
            </w:r>
          </w:p>
        </w:tc>
        <w:tc>
          <w:tcPr>
            <w:tcW w:w="6946" w:type="dxa"/>
            <w:shd w:val="clear" w:color="auto" w:fill="FFFF00"/>
          </w:tcPr>
          <w:p w:rsidR="00676680" w:rsidRDefault="00A837E4">
            <w:pPr>
              <w:spacing w:before="120"/>
              <w:rPr>
                <w:b/>
                <w:smallCaps/>
                <w:sz w:val="36"/>
                <w:szCs w:val="36"/>
              </w:rPr>
            </w:pPr>
            <w:r>
              <w:rPr>
                <w:b/>
                <w:smallCaps/>
                <w:sz w:val="36"/>
                <w:szCs w:val="36"/>
              </w:rPr>
              <w:t>Ítarviðmið</w:t>
            </w:r>
          </w:p>
        </w:tc>
      </w:tr>
      <w:tr w:rsidR="00676680">
        <w:tc>
          <w:tcPr>
            <w:tcW w:w="7054" w:type="dxa"/>
            <w:shd w:val="clear" w:color="auto" w:fill="92D050"/>
          </w:tcPr>
          <w:p w:rsidR="00676680" w:rsidRDefault="00A837E4">
            <w:pPr>
              <w:spacing w:line="276" w:lineRule="auto"/>
              <w:rPr>
                <w:b/>
              </w:rPr>
            </w:pPr>
            <w:r>
              <w:rPr>
                <w:b/>
              </w:rPr>
              <w:t>LÁGMARKSSKILYRÐI</w:t>
            </w:r>
          </w:p>
        </w:tc>
        <w:tc>
          <w:tcPr>
            <w:tcW w:w="6946" w:type="dxa"/>
            <w:shd w:val="clear" w:color="auto" w:fill="92D050"/>
          </w:tcPr>
          <w:p w:rsidR="00676680" w:rsidRDefault="00A837E4">
            <w:pPr>
              <w:spacing w:line="276" w:lineRule="auto"/>
              <w:rPr>
                <w:b/>
              </w:rPr>
            </w:pPr>
            <w:r>
              <w:rPr>
                <w:b/>
              </w:rPr>
              <w:t>LÁGMARKSSKILYRÐI</w:t>
            </w:r>
          </w:p>
        </w:tc>
      </w:tr>
      <w:tr w:rsidR="00676680">
        <w:tc>
          <w:tcPr>
            <w:tcW w:w="7054" w:type="dxa"/>
          </w:tcPr>
          <w:p w:rsidR="00676680" w:rsidRDefault="00A837E4">
            <w:pPr>
              <w:rPr>
                <w:b/>
              </w:rPr>
            </w:pPr>
            <w:r>
              <w:rPr>
                <w:b/>
              </w:rPr>
              <w:t>1. Endurnýjanleg hráefni</w:t>
            </w:r>
          </w:p>
          <w:p w:rsidR="00676680" w:rsidRDefault="00A837E4">
            <w:r>
              <w:t>Kolefnisinnihald samsettrar vöru skal vera úr endurnýjanlegum hráefnum (</w:t>
            </w:r>
            <w:proofErr w:type="spellStart"/>
            <w:r>
              <w:t>upprunið</w:t>
            </w:r>
            <w:proofErr w:type="spellEnd"/>
            <w:r>
              <w:t xml:space="preserve"> frá jurtaolíum eða dýrafeiti) samkvæmt eftirfarandi: </w:t>
            </w:r>
          </w:p>
          <w:p w:rsidR="00676680" w:rsidRDefault="00A837E4">
            <w:r>
              <w:t>•  ≥ 50 % (m/m) fyrir olíur í vökvakerfum (e.</w:t>
            </w:r>
            <w:proofErr w:type="spellStart"/>
            <w:r>
              <w:t>hydraulicoils</w:t>
            </w:r>
            <w:proofErr w:type="spellEnd"/>
            <w:r>
              <w:t>)</w:t>
            </w:r>
          </w:p>
          <w:p w:rsidR="00676680" w:rsidRDefault="00A837E4">
            <w:r>
              <w:t>•  ≥ 45 % (m/m) fyrir smurfeiti</w:t>
            </w:r>
          </w:p>
          <w:p w:rsidR="00676680" w:rsidRDefault="00A837E4">
            <w:r>
              <w:t xml:space="preserve">•  ≥ 70 % (m/m) fyrir olíur á keðjusög og aðrar </w:t>
            </w:r>
            <w:proofErr w:type="spellStart"/>
            <w:r>
              <w:t>smurolíursem</w:t>
            </w:r>
            <w:proofErr w:type="spellEnd"/>
            <w:r>
              <w:t xml:space="preserve"> fara allar til spillis.</w:t>
            </w:r>
          </w:p>
          <w:p w:rsidR="00676680" w:rsidRDefault="00A837E4">
            <w:r>
              <w:t>•  ≥ 50 % (m/m) fyrir tvígengisolíur</w:t>
            </w:r>
          </w:p>
          <w:p w:rsidR="00676680" w:rsidRDefault="00A837E4">
            <w:r>
              <w:rPr>
                <w:b/>
              </w:rPr>
              <w:t>Staðfesting</w:t>
            </w:r>
            <w:r>
              <w:t>: Bjóðandi skal leggja fram ítarlegar upplýsingar um samsetningu vörunnar, uppruna endurnýjanlegu hráefnanna og yfirlýsingu um samræmi við ofangreindar kröfur. Vörur sem eru umhverfismerktar (Tegund 1) og uppfylla ofangreindar kröfur teljast samræmast viðmiðunum eru fullnægjandi staðfesting. Önnur viðeigandi sönnunargögn, t.d. tæknilýsingar framleiðanda eða prófunarskýrsla óháðs aðila, verða tekin gild.</w:t>
            </w:r>
          </w:p>
        </w:tc>
        <w:tc>
          <w:tcPr>
            <w:tcW w:w="6946" w:type="dxa"/>
          </w:tcPr>
          <w:p w:rsidR="00676680" w:rsidRDefault="00A837E4">
            <w:pPr>
              <w:rPr>
                <w:b/>
              </w:rPr>
            </w:pPr>
            <w:r>
              <w:rPr>
                <w:b/>
              </w:rPr>
              <w:t xml:space="preserve">1. Endurnýjanleg hráefni </w:t>
            </w:r>
          </w:p>
          <w:p w:rsidR="00676680" w:rsidRDefault="00A837E4">
            <w:r>
              <w:t>Kolefnisinnihald samsettrar vöru skal vera úr endurnýjanlegum hráefnum (</w:t>
            </w:r>
            <w:proofErr w:type="spellStart"/>
            <w:r>
              <w:t>upprunið</w:t>
            </w:r>
            <w:proofErr w:type="spellEnd"/>
            <w:r>
              <w:t xml:space="preserve"> frá jurtaolíum eða dýrafeiti) samkvæmt eftirfarandi: </w:t>
            </w:r>
          </w:p>
          <w:p w:rsidR="00676680" w:rsidRDefault="00A837E4">
            <w:r>
              <w:t xml:space="preserve">•  ≥ 50 % (m/m) fyrir olíur í vökvakerfum (e. </w:t>
            </w:r>
            <w:proofErr w:type="spellStart"/>
            <w:r>
              <w:t>hydraulicoils</w:t>
            </w:r>
            <w:proofErr w:type="spellEnd"/>
            <w:r>
              <w:t xml:space="preserve">) </w:t>
            </w:r>
          </w:p>
          <w:p w:rsidR="00676680" w:rsidRDefault="00A837E4">
            <w:r>
              <w:t xml:space="preserve">•  ≥ 45 % (m/m) fyrir smurfeiti </w:t>
            </w:r>
          </w:p>
          <w:p w:rsidR="00676680" w:rsidRDefault="00A837E4">
            <w:r>
              <w:t>•  ≥ 70 % (m/m) fyrir olíur á keðjusög og aðrar smurolíur sem fara allar til spillis.</w:t>
            </w:r>
          </w:p>
          <w:p w:rsidR="00676680" w:rsidRDefault="00A837E4">
            <w:r>
              <w:t xml:space="preserve">•  ≥ 50 % (m/m) fyrir tvígengisolíur </w:t>
            </w:r>
          </w:p>
          <w:p w:rsidR="00676680" w:rsidRDefault="00A837E4">
            <w:r>
              <w:rPr>
                <w:b/>
              </w:rPr>
              <w:t>Staðfesting</w:t>
            </w:r>
            <w:r>
              <w:t>: Bjóðandi skal leggja fram ítarlegar upplýsingar um samsetningu vörunnar, uppruna endurnýjanlegu hráefnanna og yfirlýsingu um framfylgd ofangreindra krafna. og uppfylla ofangreindar kröfur teljast samræmast viðmiðunum eru fullnægjandi staðfesting. Önnur viðeigandi sönnunargögn, t.d. tæknilýsingar framleiðanda eða prófunarskýrsla óháðs aðila, verða tekin gild.</w:t>
            </w:r>
          </w:p>
        </w:tc>
      </w:tr>
      <w:tr w:rsidR="00676680">
        <w:tc>
          <w:tcPr>
            <w:tcW w:w="7054" w:type="dxa"/>
          </w:tcPr>
          <w:p w:rsidR="00676680" w:rsidRDefault="00A837E4">
            <w:pPr>
              <w:pStyle w:val="ListParagraph"/>
              <w:numPr>
                <w:ilvl w:val="0"/>
                <w:numId w:val="43"/>
              </w:numPr>
              <w:rPr>
                <w:b/>
              </w:rPr>
            </w:pPr>
            <w:r>
              <w:rPr>
                <w:b/>
              </w:rPr>
              <w:t xml:space="preserve">Hætta fyrir umhverfi og heilsu manna </w:t>
            </w:r>
          </w:p>
          <w:p w:rsidR="00676680" w:rsidRDefault="00A837E4">
            <w:r>
              <w:t>Varan skal ekki vera merkt hættusetningum samkvæmt tilskipun 1999/45/EC og 2001/60/EC</w:t>
            </w:r>
            <w:r w:rsidR="00F26F0B">
              <w:t xml:space="preserve"> </w:t>
            </w:r>
            <w:r>
              <w:t xml:space="preserve">varðandi áhrif á umhverfi og heilsu manna. </w:t>
            </w:r>
          </w:p>
          <w:p w:rsidR="00676680" w:rsidRDefault="00A837E4">
            <w:r>
              <w:t xml:space="preserve">Eftirfarandi hættusetningar geta átt við smurolíur: R20 (H332), R21 </w:t>
            </w:r>
            <w:r>
              <w:lastRenderedPageBreak/>
              <w:t xml:space="preserve">(H312), R22 (H302), R23 (H330 &amp; H331), R24 (H311), R25 (H301), R26 (H330), R27 (H310), R28 (H300), R33 (H373), R34 (H314), R35 (H314), R36 (H319), R37 (H335), R38 (H315), R39 (H370), R40 (H351), R41 (H318), R42 (H334), R43 (H317), R45 (H350), R46 (H340), R48 (H372 &amp; H373), R49 (H350i), R50 (H400), R51 (H411), R52 (H412), R53 (H413), R59 (EUH059), R60 (H360F), R61 (H360D &amp; H360FD), R62 (H361f, H360FD &amp; H360Df), R63 (H361d &amp; H360Fd), R64 (H362),R65 (H304), R66 (EUH066), R67 (H336), R68 (H371) og samsetningar þessara efna. </w:t>
            </w:r>
          </w:p>
          <w:p w:rsidR="00676680" w:rsidRDefault="00A837E4">
            <w:r>
              <w:rPr>
                <w:b/>
              </w:rPr>
              <w:t>Staðfesting</w:t>
            </w:r>
            <w:r>
              <w:t xml:space="preserve">:  Vörur sem eru umhverfismerktar (Tegund 1) og uppfylla ofangreindar kröfur teljast samræmast viðmiðunum eru fullnægjandi staðfesting. Önnur viðeigandi sönnunargögn, t.d. tæknilýsingar framleiðanda eða prófunarskýrsla óháðs aðila, verða tekin gild.Bjóðendur geta einnig lagt fram: lista yfir öll aðal innihaldsefnin (hvert það efni sem vegur meira en 5% af þyngd smurolíunnar) í vörunni, ásamt nöfnum efnanna og virkni, </w:t>
            </w:r>
            <w:proofErr w:type="spellStart"/>
            <w:r>
              <w:t>Einecs</w:t>
            </w:r>
            <w:proofErr w:type="spellEnd"/>
            <w:r>
              <w:t xml:space="preserve"> </w:t>
            </w:r>
            <w:proofErr w:type="spellStart"/>
            <w:r>
              <w:t>eðaElincsnúmmer</w:t>
            </w:r>
            <w:proofErr w:type="spellEnd"/>
            <w:r>
              <w:t xml:space="preserve"> og styrk þeirra við notkun; öryggisleiðbeiningar (samkvæmt  kröfum tilskipun 91/155/EEC); og öryggisblað fyrir hvert aðalefnanna (samkvæmt kröfum tilskipun91/155/EEC </w:t>
            </w:r>
            <w:proofErr w:type="spellStart"/>
            <w:r>
              <w:t>ogtilskipun</w:t>
            </w:r>
            <w:proofErr w:type="spellEnd"/>
            <w:r>
              <w:t xml:space="preserve"> 67/548/EEC).</w:t>
            </w:r>
          </w:p>
        </w:tc>
        <w:tc>
          <w:tcPr>
            <w:tcW w:w="6946" w:type="dxa"/>
          </w:tcPr>
          <w:p w:rsidR="00676680" w:rsidRDefault="00A837E4">
            <w:pPr>
              <w:pStyle w:val="ListParagraph"/>
              <w:numPr>
                <w:ilvl w:val="0"/>
                <w:numId w:val="18"/>
              </w:numPr>
              <w:rPr>
                <w:b/>
              </w:rPr>
            </w:pPr>
            <w:r>
              <w:rPr>
                <w:b/>
              </w:rPr>
              <w:lastRenderedPageBreak/>
              <w:t xml:space="preserve">Hætta fyrir umhverfi og heilsu manna </w:t>
            </w:r>
          </w:p>
          <w:p w:rsidR="00676680" w:rsidRDefault="00A837E4">
            <w:pPr>
              <w:rPr>
                <w:b/>
              </w:rPr>
            </w:pPr>
            <w:r>
              <w:t>Varan skal ekki vera merkt hættusetningum samkvæmt tilskipun 1999/45/EC og 2001/60/EC</w:t>
            </w:r>
            <w:r w:rsidR="00F26F0B">
              <w:t xml:space="preserve"> </w:t>
            </w:r>
            <w:r>
              <w:t xml:space="preserve">varðandi áhrif á umhverfi og heilsu manna. </w:t>
            </w:r>
          </w:p>
          <w:p w:rsidR="00676680" w:rsidRDefault="00A837E4">
            <w:pPr>
              <w:ind w:left="360"/>
            </w:pPr>
            <w:r>
              <w:t xml:space="preserve">Eftirfarandi hættusetningar geta átt við smurolíur: R20 (H332), </w:t>
            </w:r>
            <w:r>
              <w:lastRenderedPageBreak/>
              <w:t xml:space="preserve">R21 (H312), R22 (H302), R23 (H330 &amp; H331), R24 (H311), R25 (H301), R26 (H330), R27 (H310), R28 (H300), R33 (H373), R34 (H314), R35 (H314), R36 (H319), R37 (H335), R38 (H315), R39 (H370), R40 (H351), R41 (H318), R42 (H334), R43 (H317), R45 (H350), R46 (H340), R48 (H372 &amp; H373), R49 (H350i), R50 (H400), R51 (H411), R52 (H412), R53 (H413), R59 (EUH059), R60 (H360F), R61 (H360D &amp; H360FD), R62 (H361f, H360FD &amp; H360Df), R63 (H361d &amp; H360Fd), R64 (H362),R65 (H304), R66 (EUH066), R67 (H336), R68 (H371) og samsetningar þessara efna. </w:t>
            </w:r>
          </w:p>
          <w:p w:rsidR="00676680" w:rsidRDefault="00A837E4">
            <w:r>
              <w:rPr>
                <w:b/>
              </w:rPr>
              <w:t>Staðfesting</w:t>
            </w:r>
            <w:r>
              <w:t xml:space="preserve">:  Vörur sem eru umhverfismerktar (Tegund 1) og uppfylla ofangreindar kröfur teljast samræmast viðmiðunum eru fullnægjandi staðfesting. Önnur viðeigandi sönnunargögn, t.d. tæknilýsingar framleiðanda eða prófunarskýrsla óháðs aðila, verða tekin gild.Bjóðendur geta einnig lagt fram: lista yfir öll aðal innihaldsefnin (hvert það efni sem vegur meira en 5% af þyngd smurolíunnar) í vörunni, ásamt nöfnum efnanna og virkni, </w:t>
            </w:r>
            <w:proofErr w:type="spellStart"/>
            <w:r>
              <w:t>Einecs</w:t>
            </w:r>
            <w:proofErr w:type="spellEnd"/>
            <w:r>
              <w:t xml:space="preserve"> </w:t>
            </w:r>
            <w:proofErr w:type="spellStart"/>
            <w:r>
              <w:t>eðaElincsnúmmer</w:t>
            </w:r>
            <w:proofErr w:type="spellEnd"/>
            <w:r>
              <w:t xml:space="preserve"> og styrk þeirra við notkun; öryggisleiðbeiningar (samkvæmt  kröfum tilskipun 91/155/EEC); og öryggisblað fyrir hvert aðalefnanna (samkvæmt kröfum tilskipun 91/155/EEC </w:t>
            </w:r>
            <w:proofErr w:type="spellStart"/>
            <w:r>
              <w:t>ogtilskipun</w:t>
            </w:r>
            <w:proofErr w:type="spellEnd"/>
            <w:r>
              <w:t xml:space="preserve"> 67/548/EEC).</w:t>
            </w:r>
          </w:p>
        </w:tc>
      </w:tr>
    </w:tbl>
    <w:p w:rsidR="00676680" w:rsidRDefault="00676680"/>
    <w:p w:rsidR="00676680" w:rsidRDefault="00A837E4">
      <w:pPr>
        <w:spacing w:after="200"/>
      </w:pPr>
      <w:r>
        <w:br w:type="page"/>
      </w:r>
    </w:p>
    <w:p w:rsidR="00676680" w:rsidRDefault="00A837E4">
      <w:pPr>
        <w:pStyle w:val="Heading1"/>
      </w:pPr>
      <w:r>
        <w:lastRenderedPageBreak/>
        <w:t>GARÐYRKJUÞJÓNUSTA</w:t>
      </w:r>
    </w:p>
    <w:tbl>
      <w:tblPr>
        <w:tblStyle w:val="TableGrid1"/>
        <w:tblW w:w="14000" w:type="dxa"/>
        <w:tblLayout w:type="fixed"/>
        <w:tblLook w:val="04A0" w:firstRow="1" w:lastRow="0" w:firstColumn="1" w:lastColumn="0" w:noHBand="0" w:noVBand="1"/>
      </w:tblPr>
      <w:tblGrid>
        <w:gridCol w:w="7054"/>
        <w:gridCol w:w="6946"/>
      </w:tblGrid>
      <w:tr w:rsidR="00676680">
        <w:tc>
          <w:tcPr>
            <w:tcW w:w="7054" w:type="dxa"/>
            <w:shd w:val="clear" w:color="auto" w:fill="FFFF00"/>
          </w:tcPr>
          <w:p w:rsidR="00676680" w:rsidRDefault="00A837E4">
            <w:pPr>
              <w:pStyle w:val="Titill"/>
            </w:pPr>
            <w:r>
              <w:t>Grunnviðmið</w:t>
            </w:r>
          </w:p>
        </w:tc>
        <w:tc>
          <w:tcPr>
            <w:tcW w:w="6946" w:type="dxa"/>
            <w:shd w:val="clear" w:color="auto" w:fill="FFFF00"/>
          </w:tcPr>
          <w:p w:rsidR="00676680" w:rsidRDefault="00A837E4">
            <w:pPr>
              <w:spacing w:before="120"/>
              <w:rPr>
                <w:b/>
                <w:smallCaps/>
                <w:sz w:val="36"/>
                <w:szCs w:val="36"/>
              </w:rPr>
            </w:pPr>
            <w:r>
              <w:rPr>
                <w:b/>
                <w:smallCaps/>
                <w:sz w:val="36"/>
                <w:szCs w:val="36"/>
              </w:rPr>
              <w:t>Ítarviðmið</w:t>
            </w:r>
          </w:p>
        </w:tc>
      </w:tr>
      <w:tr w:rsidR="00676680">
        <w:tc>
          <w:tcPr>
            <w:tcW w:w="7054" w:type="dxa"/>
            <w:shd w:val="clear" w:color="auto" w:fill="92D050"/>
          </w:tcPr>
          <w:p w:rsidR="00676680" w:rsidRDefault="00A837E4">
            <w:pPr>
              <w:spacing w:line="276" w:lineRule="auto"/>
              <w:rPr>
                <w:b/>
              </w:rPr>
            </w:pPr>
            <w:r>
              <w:rPr>
                <w:b/>
              </w:rPr>
              <w:t>LÁGMARKSSKILYRÐI</w:t>
            </w:r>
          </w:p>
        </w:tc>
        <w:tc>
          <w:tcPr>
            <w:tcW w:w="6946" w:type="dxa"/>
            <w:shd w:val="clear" w:color="auto" w:fill="92D050"/>
          </w:tcPr>
          <w:p w:rsidR="00676680" w:rsidRDefault="00A837E4">
            <w:pPr>
              <w:spacing w:line="276" w:lineRule="auto"/>
              <w:rPr>
                <w:b/>
              </w:rPr>
            </w:pPr>
            <w:r>
              <w:rPr>
                <w:b/>
              </w:rPr>
              <w:t>LÁGMARKSSKILYRÐI</w:t>
            </w:r>
          </w:p>
        </w:tc>
      </w:tr>
      <w:tr w:rsidR="00676680">
        <w:tc>
          <w:tcPr>
            <w:tcW w:w="7054" w:type="dxa"/>
          </w:tcPr>
          <w:p w:rsidR="00676680" w:rsidRDefault="00A837E4">
            <w:pPr>
              <w:pStyle w:val="ListParagraph"/>
              <w:numPr>
                <w:ilvl w:val="0"/>
                <w:numId w:val="45"/>
              </w:numPr>
              <w:rPr>
                <w:b/>
              </w:rPr>
            </w:pPr>
            <w:r>
              <w:rPr>
                <w:b/>
              </w:rPr>
              <w:t>Skipulagt umhverfisstarf garðyrkjuþjónustunnar</w:t>
            </w:r>
          </w:p>
          <w:p w:rsidR="00676680" w:rsidRDefault="00A837E4">
            <w:r>
              <w:t xml:space="preserve">Bjóðandi skal sýna fram á hæfni sína til að vinna skipulagt og skjalfest umhverfisstarf, að minnsta </w:t>
            </w:r>
            <w:proofErr w:type="spellStart"/>
            <w:r>
              <w:t>kostifyrir</w:t>
            </w:r>
            <w:proofErr w:type="spellEnd"/>
            <w:r>
              <w:t xml:space="preserve"> eftirfarandi atriði:</w:t>
            </w:r>
          </w:p>
          <w:p w:rsidR="00676680" w:rsidRDefault="00A837E4">
            <w:pPr>
              <w:pStyle w:val="ListParagraph"/>
              <w:numPr>
                <w:ilvl w:val="0"/>
                <w:numId w:val="20"/>
              </w:numPr>
            </w:pPr>
            <w:r>
              <w:t>Mat á þýðingarmestu umhverfisþáttum starfsemi sinnar</w:t>
            </w:r>
          </w:p>
          <w:p w:rsidR="00676680" w:rsidRDefault="00A837E4">
            <w:pPr>
              <w:pStyle w:val="ListParagraph"/>
              <w:numPr>
                <w:ilvl w:val="0"/>
                <w:numId w:val="20"/>
              </w:numPr>
            </w:pPr>
            <w:r>
              <w:t>Lágmörkun úrgangs og úrgangsflokkun</w:t>
            </w:r>
          </w:p>
          <w:p w:rsidR="00676680" w:rsidRDefault="00A837E4">
            <w:pPr>
              <w:pStyle w:val="ListParagraph"/>
              <w:numPr>
                <w:ilvl w:val="0"/>
                <w:numId w:val="20"/>
              </w:numPr>
            </w:pPr>
            <w:r>
              <w:t>Vatns- og orkusparnað, einnig varðandi flutninga</w:t>
            </w:r>
          </w:p>
          <w:p w:rsidR="00676680" w:rsidRDefault="00A837E4">
            <w:pPr>
              <w:pStyle w:val="ListParagraph"/>
              <w:numPr>
                <w:ilvl w:val="0"/>
                <w:numId w:val="20"/>
              </w:numPr>
            </w:pPr>
            <w:r>
              <w:t>Notkun á varnarefnum, þ.m.t. illgresiseyði</w:t>
            </w:r>
          </w:p>
          <w:p w:rsidR="00676680" w:rsidRDefault="00A837E4">
            <w:r>
              <w:rPr>
                <w:b/>
              </w:rPr>
              <w:t>Staðfesting</w:t>
            </w:r>
            <w:r>
              <w:t>: Bjóðendur sem eru með umhverfisstjórnunarkerfi (EMAS, ISO 14001, eða önnur sambærileg kerfi) fyrir garðyrkjuþjónustuna skulu sýna fram á skjalfestingu kerfisins og verkferla sína. Ef kerfið er ekki vottað, skulu bjóðendur leggja fram skriflega verkferla og leiðbeiningar sem sýna fram á fagleg vinnubrögð þeirra.</w:t>
            </w:r>
          </w:p>
          <w:p w:rsidR="00676680" w:rsidRDefault="00A837E4">
            <w:r>
              <w:t xml:space="preserve">Ef bjóðandi þjónusta hefur ekki </w:t>
            </w:r>
            <w:proofErr w:type="spellStart"/>
            <w:r>
              <w:t>umhverfisstjórnunarkerfien</w:t>
            </w:r>
            <w:proofErr w:type="spellEnd"/>
            <w:r>
              <w:t xml:space="preserve"> hefur reynslu af samskonar samstarfssamningum, skal senda lista yfir fyrri verkefni síðastliðin 3 ár ásamt tengiliðum bjóðanda hvers verkefnis.</w:t>
            </w:r>
          </w:p>
        </w:tc>
        <w:tc>
          <w:tcPr>
            <w:tcW w:w="6946" w:type="dxa"/>
          </w:tcPr>
          <w:p w:rsidR="00676680" w:rsidRDefault="00A837E4">
            <w:pPr>
              <w:pStyle w:val="ListParagraph"/>
              <w:numPr>
                <w:ilvl w:val="0"/>
                <w:numId w:val="36"/>
              </w:numPr>
              <w:rPr>
                <w:b/>
              </w:rPr>
            </w:pPr>
            <w:r>
              <w:rPr>
                <w:b/>
              </w:rPr>
              <w:t>Skipulagt umhverfisstarf garðyrkjuþjónustunnar</w:t>
            </w:r>
          </w:p>
          <w:p w:rsidR="00676680" w:rsidRDefault="00A837E4">
            <w:r>
              <w:t xml:space="preserve">Bjóðandi skal sýna fram á hæfni sína til að vinna skipulagt og skjalfest umhverfisstarf, að minnsta kosti fyrir eftirfarandi atriði:  </w:t>
            </w:r>
          </w:p>
          <w:p w:rsidR="00676680" w:rsidRDefault="00A837E4">
            <w:pPr>
              <w:pStyle w:val="ListParagraph"/>
              <w:numPr>
                <w:ilvl w:val="0"/>
                <w:numId w:val="46"/>
              </w:numPr>
            </w:pPr>
            <w:r>
              <w:t xml:space="preserve">Mat á þýðingarmestu umhverfisþáttum starfsemi sinnar  </w:t>
            </w:r>
          </w:p>
          <w:p w:rsidR="00676680" w:rsidRDefault="00A837E4">
            <w:pPr>
              <w:pStyle w:val="ListParagraph"/>
              <w:numPr>
                <w:ilvl w:val="0"/>
                <w:numId w:val="46"/>
              </w:numPr>
            </w:pPr>
            <w:r>
              <w:t xml:space="preserve">Lágmörkun úrgangs og úrgangsflokkun  </w:t>
            </w:r>
          </w:p>
          <w:p w:rsidR="00676680" w:rsidRDefault="00A837E4">
            <w:pPr>
              <w:pStyle w:val="ListParagraph"/>
              <w:numPr>
                <w:ilvl w:val="0"/>
                <w:numId w:val="46"/>
              </w:numPr>
            </w:pPr>
            <w:r>
              <w:t xml:space="preserve">Vatns- og orkusparnað, einnig varðandi flutninga  </w:t>
            </w:r>
          </w:p>
          <w:p w:rsidR="00676680" w:rsidRDefault="00A837E4">
            <w:pPr>
              <w:pStyle w:val="ListParagraph"/>
              <w:numPr>
                <w:ilvl w:val="0"/>
                <w:numId w:val="46"/>
              </w:numPr>
            </w:pPr>
            <w:r>
              <w:t xml:space="preserve">Notkun á varnarefnum, þ.m.t. illgresiseyði  </w:t>
            </w:r>
          </w:p>
          <w:p w:rsidR="00676680" w:rsidRDefault="00A837E4">
            <w:r>
              <w:rPr>
                <w:b/>
              </w:rPr>
              <w:t>Staðfesting</w:t>
            </w:r>
            <w:r>
              <w:t xml:space="preserve">: Bjóðendur sem eru með umhverfisstjórnunarkerfi (EMAS, ISO 14001, eða önnur sambærileg kerfi) fyrir garðyrkjuþjónustuna skulu sýna fram á skjalfestingu kerfisins og verkferla sína. Ef kerfið er ekki vottað, skulu bjóðendur leggja fram skriflega verkferla og leiðbeiningar sem sýna fram á fagleg vinnubrögð þeirra. </w:t>
            </w:r>
          </w:p>
          <w:p w:rsidR="00676680" w:rsidRDefault="00A837E4">
            <w:r>
              <w:t>Ef bjóðandi þjónusta hefur ekki umhverfisstjórnunarkerfi en hefur reynslu af samskonar samstarfssamningum, skal senda lista yfir fyrri verkefni síðastliðin 3 ár ásamt tengiliðum bjóðanda hvers verkefnis.</w:t>
            </w:r>
          </w:p>
        </w:tc>
      </w:tr>
      <w:tr w:rsidR="00676680">
        <w:tc>
          <w:tcPr>
            <w:tcW w:w="7054" w:type="dxa"/>
          </w:tcPr>
          <w:p w:rsidR="00676680" w:rsidRDefault="00A837E4">
            <w:r>
              <w:rPr>
                <w:b/>
              </w:rPr>
              <w:t>2. Innihaldsefni</w:t>
            </w:r>
            <w:r w:rsidR="00F26F0B">
              <w:rPr>
                <w:b/>
              </w:rPr>
              <w:t xml:space="preserve"> </w:t>
            </w:r>
            <w:r>
              <w:rPr>
                <w:b/>
              </w:rPr>
              <w:t xml:space="preserve">áburðargefandi jarðvegsbætis </w:t>
            </w:r>
          </w:p>
          <w:p w:rsidR="00676680" w:rsidRDefault="00A837E4">
            <w:r>
              <w:t xml:space="preserve">2.1 Jarðvegsbætir skal ekki innihalda mó eða seyru (e. </w:t>
            </w:r>
            <w:proofErr w:type="spellStart"/>
            <w:r w:rsidR="00F26F0B">
              <w:t>S</w:t>
            </w:r>
            <w:r>
              <w:t>ewage</w:t>
            </w:r>
            <w:proofErr w:type="spellEnd"/>
            <w:r w:rsidR="00F26F0B">
              <w:t xml:space="preserve"> </w:t>
            </w:r>
            <w:proofErr w:type="spellStart"/>
            <w:r>
              <w:t>sludge</w:t>
            </w:r>
            <w:proofErr w:type="spellEnd"/>
            <w:r>
              <w:t xml:space="preserve">). </w:t>
            </w:r>
          </w:p>
          <w:p w:rsidR="00676680" w:rsidRDefault="00A837E4">
            <w:r>
              <w:t xml:space="preserve">2.2 Lífræn efni í jarðvegsbæti skulu vera upprunnin frá meðhöndlun og/eða endurnotkun á úrgangi (samkvæmt skilgreiningu tilskipunar </w:t>
            </w:r>
            <w:r>
              <w:lastRenderedPageBreak/>
              <w:t xml:space="preserve">2006/12/EC 5. Apríl 2006 um úrgang ásamt viðauka I). </w:t>
            </w:r>
          </w:p>
          <w:p w:rsidR="00676680" w:rsidRDefault="00A837E4">
            <w:r>
              <w:t xml:space="preserve">2.3Eðja (ekki skólp) er eingöngu leyfð í jarðvegsbætinum ef hún er upprunnin frá einhverjum af eftirfarandi úrgangsflokkum samkvæmt úrgangslista Evrópusambandsins (samkvæmt skilgreiningu framkvæmdastjórar 2001/118/EC 16. janúar 2001 um breytingu á 2000/532/EC að því er varðar úrgangslistann, og þegar viðkomandi úrgangsflokkar hafa ekki blandast við frárennsli eða eðju utan við framleiðsluferlið: </w:t>
            </w:r>
          </w:p>
          <w:p w:rsidR="00676680" w:rsidRDefault="00A837E4">
            <w:pPr>
              <w:pStyle w:val="ListParagraph"/>
              <w:numPr>
                <w:ilvl w:val="0"/>
                <w:numId w:val="16"/>
              </w:numPr>
            </w:pPr>
            <w:r>
              <w:t xml:space="preserve">020305 eðja úr afrennsli frá meðhöndlun á ávöxtum, grænmeti, korni, matarolíum, kakó, kaffi, te og tóbak; niðursuða; gerjun og gersafaframleiðsla, sírópsgerð, undirbúningur og gerjum </w:t>
            </w:r>
          </w:p>
          <w:p w:rsidR="00676680" w:rsidRDefault="00A837E4">
            <w:pPr>
              <w:pStyle w:val="ListParagraph"/>
              <w:numPr>
                <w:ilvl w:val="0"/>
                <w:numId w:val="16"/>
              </w:numPr>
            </w:pPr>
            <w:r>
              <w:t xml:space="preserve">020403 eðja frá afrennsli við sykurframleiðslu </w:t>
            </w:r>
          </w:p>
          <w:p w:rsidR="00676680" w:rsidRDefault="00A837E4">
            <w:pPr>
              <w:pStyle w:val="ListParagraph"/>
              <w:numPr>
                <w:ilvl w:val="0"/>
                <w:numId w:val="16"/>
              </w:numPr>
            </w:pPr>
            <w:r>
              <w:t xml:space="preserve">020502 eðja frá afrennsli </w:t>
            </w:r>
            <w:proofErr w:type="spellStart"/>
            <w:r>
              <w:t>mjólkuvöruiðnaði</w:t>
            </w:r>
            <w:proofErr w:type="spellEnd"/>
          </w:p>
          <w:p w:rsidR="00676680" w:rsidRDefault="00A837E4">
            <w:pPr>
              <w:pStyle w:val="ListParagraph"/>
              <w:numPr>
                <w:ilvl w:val="0"/>
                <w:numId w:val="16"/>
              </w:numPr>
            </w:pPr>
            <w:r>
              <w:t xml:space="preserve">020603 eðja frá afrennsli sælgætisgerðar og baksturs </w:t>
            </w:r>
          </w:p>
          <w:p w:rsidR="00676680" w:rsidRDefault="00A837E4">
            <w:pPr>
              <w:pStyle w:val="ListParagraph"/>
              <w:numPr>
                <w:ilvl w:val="0"/>
                <w:numId w:val="16"/>
              </w:numPr>
            </w:pPr>
            <w:r>
              <w:t xml:space="preserve">020705 eðja frá afrennsli við framleiðslu á áfengum og óáfengum drykkjum (ekki kaffi, te og kakó) </w:t>
            </w:r>
          </w:p>
          <w:p w:rsidR="00676680" w:rsidRDefault="00A837E4">
            <w:r>
              <w:rPr>
                <w:b/>
              </w:rPr>
              <w:t>Staðfesting</w:t>
            </w:r>
            <w:r>
              <w:t>: Bjóðandi skal leggja fram ítarlegt yfirlit yfir samsetningu jarðvegsbætisins, uppruna lífrænu efnanna og yfirlýsingu um að ofangreindum kröfum sé mætt. Vörur sem eru umhverfismerktar (Tegund 1) og uppfylla ofangreindar kröfur teljast samræmast viðmiðunum eru fullnægjandi staðfesting. Önnur viðeigandi sönnunargögn, t.d. tæknilýsingar framleiðanda eða prófunarskýrsla óháðs aðila, verða tekin gild.</w:t>
            </w:r>
          </w:p>
        </w:tc>
        <w:tc>
          <w:tcPr>
            <w:tcW w:w="6946" w:type="dxa"/>
          </w:tcPr>
          <w:p w:rsidR="00676680" w:rsidRDefault="00A837E4">
            <w:r>
              <w:rPr>
                <w:b/>
              </w:rPr>
              <w:lastRenderedPageBreak/>
              <w:t>2. Innihaldsefni</w:t>
            </w:r>
            <w:r w:rsidR="00F26F0B">
              <w:rPr>
                <w:b/>
              </w:rPr>
              <w:t xml:space="preserve"> </w:t>
            </w:r>
            <w:r>
              <w:rPr>
                <w:b/>
              </w:rPr>
              <w:t xml:space="preserve">áburðargefandi jarðvegsbætis </w:t>
            </w:r>
          </w:p>
          <w:p w:rsidR="00676680" w:rsidRDefault="00A837E4">
            <w:r>
              <w:t xml:space="preserve">2.1 Jarðvegsbætir skal ekki innihalda mó eða seyru (e. </w:t>
            </w:r>
            <w:proofErr w:type="spellStart"/>
            <w:r w:rsidR="00F26F0B">
              <w:t>S</w:t>
            </w:r>
            <w:r>
              <w:t>ewage</w:t>
            </w:r>
            <w:proofErr w:type="spellEnd"/>
            <w:r w:rsidR="00F26F0B">
              <w:t xml:space="preserve"> </w:t>
            </w:r>
            <w:proofErr w:type="spellStart"/>
            <w:r>
              <w:t>sludge</w:t>
            </w:r>
            <w:proofErr w:type="spellEnd"/>
            <w:r>
              <w:t xml:space="preserve">). </w:t>
            </w:r>
          </w:p>
          <w:p w:rsidR="00676680" w:rsidRDefault="00A837E4">
            <w:r>
              <w:t xml:space="preserve">2.2 Lífræn efni í jarðvegsbæti skulu vera upprunnin frá meðhöndlun og/eða endurnotkun á úrgangi (samkvæmt skilgreiningu tilskipunar </w:t>
            </w:r>
            <w:r>
              <w:lastRenderedPageBreak/>
              <w:t xml:space="preserve">2006/12/EC 5. Apríl 2006 um úrgang ásamt viðauka I). </w:t>
            </w:r>
          </w:p>
          <w:p w:rsidR="00676680" w:rsidRDefault="00A837E4">
            <w:r>
              <w:t xml:space="preserve">2.3 Eðja (ekki skólp) er eingöngu leyfð í jarðvegsbætinum ef hún er upprunnin frá einhverjum af eftirfarandi úrgangsflokkum samkvæmt úrgangslista Evrópusambandsins (samkvæmt skilgreiningu framkvæmdastjórar 2001/118/EC 16. janúar 2001 um breytingu á 2000/532/EC að því er varðar úrgangslistann, og þegar viðkomandi úrgangsflokkar hafa ekki blandast við frárennsli eða eðju utan við framleiðsluferlið: </w:t>
            </w:r>
          </w:p>
          <w:p w:rsidR="00676680" w:rsidRDefault="00A837E4">
            <w:pPr>
              <w:pStyle w:val="ListParagraph"/>
              <w:numPr>
                <w:ilvl w:val="0"/>
                <w:numId w:val="16"/>
              </w:numPr>
            </w:pPr>
            <w:r>
              <w:t xml:space="preserve">020305 eðja úr afrennsli frá meðhöndlun á ávöxtum, grænmeti, korni, matarolíum, kakó, kaffi, te og tóbak; niðursuða; gerjun og gersafaframleiðsla, sírópsgerð, undirbúningur og gerjum </w:t>
            </w:r>
          </w:p>
          <w:p w:rsidR="00676680" w:rsidRDefault="00A837E4">
            <w:pPr>
              <w:pStyle w:val="ListParagraph"/>
              <w:numPr>
                <w:ilvl w:val="0"/>
                <w:numId w:val="16"/>
              </w:numPr>
            </w:pPr>
            <w:r>
              <w:t xml:space="preserve">020403 eðja frá afrennsli við sykurframleiðslu </w:t>
            </w:r>
          </w:p>
          <w:p w:rsidR="00676680" w:rsidRDefault="00A837E4">
            <w:pPr>
              <w:pStyle w:val="ListParagraph"/>
              <w:numPr>
                <w:ilvl w:val="0"/>
                <w:numId w:val="16"/>
              </w:numPr>
            </w:pPr>
            <w:r>
              <w:t xml:space="preserve">020502 eðja frá afrennsli </w:t>
            </w:r>
            <w:proofErr w:type="spellStart"/>
            <w:r>
              <w:t>mjólkuvöruiðnaði</w:t>
            </w:r>
            <w:proofErr w:type="spellEnd"/>
          </w:p>
          <w:p w:rsidR="00676680" w:rsidRDefault="00A837E4">
            <w:pPr>
              <w:pStyle w:val="ListParagraph"/>
              <w:numPr>
                <w:ilvl w:val="0"/>
                <w:numId w:val="16"/>
              </w:numPr>
            </w:pPr>
            <w:r>
              <w:t xml:space="preserve">020603 eðja frá afrennsli sælgætisgerðar og baksturs </w:t>
            </w:r>
          </w:p>
          <w:p w:rsidR="00676680" w:rsidRDefault="00A837E4">
            <w:pPr>
              <w:pStyle w:val="ListParagraph"/>
              <w:numPr>
                <w:ilvl w:val="0"/>
                <w:numId w:val="16"/>
              </w:numPr>
            </w:pPr>
            <w:r>
              <w:t xml:space="preserve">020705 eðja frá afrennsli við framleiðslu á áfengum og óáfengum drykkjum (ekki kaffi, te og kakó) </w:t>
            </w:r>
          </w:p>
          <w:p w:rsidR="00676680" w:rsidRDefault="00A837E4">
            <w:r>
              <w:rPr>
                <w:b/>
              </w:rPr>
              <w:t>Staðfesting</w:t>
            </w:r>
            <w:r>
              <w:t>: Bjóðandi skal leggja fram ítarlegt yfirlit yfir samsetningu jarðvegsbætisins, uppruna lífrænu efnanna og yfirlýsingu um að ofangreindum kröfum sé mætt. Vörur sem eru umhverfismerktar (Tegund 1) og uppfylla ofangreindar kröfur teljast samræmast viðmiðunum eru fullnægjandi staðfesting. Önnur viðeigandi sönnunargögn, t.d. tæknilýsingar framleiðanda eða prófunarskýrsla óháðs aðila, verða tekin gild.</w:t>
            </w:r>
          </w:p>
        </w:tc>
      </w:tr>
      <w:tr w:rsidR="00676680">
        <w:tc>
          <w:tcPr>
            <w:tcW w:w="7054" w:type="dxa"/>
          </w:tcPr>
          <w:p w:rsidR="00676680" w:rsidRDefault="00A837E4">
            <w:pPr>
              <w:pStyle w:val="ListParagraph"/>
              <w:numPr>
                <w:ilvl w:val="0"/>
                <w:numId w:val="18"/>
              </w:numPr>
              <w:rPr>
                <w:b/>
              </w:rPr>
            </w:pPr>
            <w:r>
              <w:rPr>
                <w:b/>
              </w:rPr>
              <w:lastRenderedPageBreak/>
              <w:t xml:space="preserve">Hættuleg efni í áburðargefandi jarðvegsbæti </w:t>
            </w:r>
          </w:p>
          <w:p w:rsidR="00676680" w:rsidRDefault="00A837E4">
            <w:r>
              <w:t xml:space="preserve">Hámarksstyrkur þungmálma í úrganginum fyrir meðhöndlun úrgangs (mg/kg þurrvigt) skal uppfylla neðangreindar kröfur um hættuleg efni. Hámarksstyrkur þungmálma í lokaafurð jarðvegsbætis skal vera lægri en hér segir: </w:t>
            </w:r>
          </w:p>
          <w:tbl>
            <w:tblPr>
              <w:tblStyle w:val="TableGrid"/>
              <w:tblW w:w="0" w:type="auto"/>
              <w:tblLayout w:type="fixed"/>
              <w:tblLook w:val="04A0" w:firstRow="1" w:lastRow="0" w:firstColumn="1" w:lastColumn="0" w:noHBand="0" w:noVBand="1"/>
            </w:tblPr>
            <w:tblGrid>
              <w:gridCol w:w="1364"/>
              <w:gridCol w:w="1364"/>
              <w:gridCol w:w="1365"/>
              <w:gridCol w:w="1365"/>
              <w:gridCol w:w="1365"/>
            </w:tblGrid>
            <w:tr w:rsidR="00676680">
              <w:tc>
                <w:tcPr>
                  <w:tcW w:w="1364" w:type="dxa"/>
                </w:tcPr>
                <w:p w:rsidR="00676680" w:rsidRDefault="00A837E4">
                  <w:pPr>
                    <w:rPr>
                      <w:rFonts w:cs="Times New Roman"/>
                      <w:b/>
                    </w:rPr>
                  </w:pPr>
                  <w:r>
                    <w:rPr>
                      <w:rFonts w:cs="Times New Roman"/>
                      <w:b/>
                    </w:rPr>
                    <w:lastRenderedPageBreak/>
                    <w:t>Frumefni</w:t>
                  </w:r>
                </w:p>
              </w:tc>
              <w:tc>
                <w:tcPr>
                  <w:tcW w:w="1364" w:type="dxa"/>
                </w:tcPr>
                <w:p w:rsidR="00676680" w:rsidRDefault="00A837E4">
                  <w:pPr>
                    <w:rPr>
                      <w:rFonts w:cs="Times New Roman"/>
                      <w:b/>
                    </w:rPr>
                  </w:pPr>
                  <w:r>
                    <w:rPr>
                      <w:rFonts w:cs="Times New Roman"/>
                      <w:b/>
                    </w:rPr>
                    <w:t xml:space="preserve">mg/kg  </w:t>
                  </w:r>
                </w:p>
                <w:p w:rsidR="00676680" w:rsidRDefault="00A837E4">
                  <w:pPr>
                    <w:rPr>
                      <w:rFonts w:cs="Times New Roman"/>
                      <w:b/>
                    </w:rPr>
                  </w:pPr>
                  <w:r>
                    <w:rPr>
                      <w:rFonts w:cs="Times New Roman"/>
                      <w:b/>
                    </w:rPr>
                    <w:t xml:space="preserve">(þurrvigt) </w:t>
                  </w:r>
                </w:p>
              </w:tc>
              <w:tc>
                <w:tcPr>
                  <w:tcW w:w="1365" w:type="dxa"/>
                </w:tcPr>
                <w:p w:rsidR="00676680" w:rsidRDefault="00676680">
                  <w:pPr>
                    <w:rPr>
                      <w:rFonts w:cs="Times New Roman"/>
                      <w:b/>
                    </w:rPr>
                  </w:pPr>
                </w:p>
              </w:tc>
              <w:tc>
                <w:tcPr>
                  <w:tcW w:w="1365" w:type="dxa"/>
                </w:tcPr>
                <w:p w:rsidR="00676680" w:rsidRDefault="00A837E4">
                  <w:pPr>
                    <w:rPr>
                      <w:rFonts w:cs="Times New Roman"/>
                      <w:b/>
                    </w:rPr>
                  </w:pPr>
                  <w:r>
                    <w:rPr>
                      <w:rFonts w:cs="Times New Roman"/>
                      <w:b/>
                    </w:rPr>
                    <w:t>Frumefni</w:t>
                  </w:r>
                </w:p>
              </w:tc>
              <w:tc>
                <w:tcPr>
                  <w:tcW w:w="1365" w:type="dxa"/>
                </w:tcPr>
                <w:p w:rsidR="00676680" w:rsidRDefault="00A837E4">
                  <w:pPr>
                    <w:rPr>
                      <w:rFonts w:cs="Times New Roman"/>
                      <w:b/>
                    </w:rPr>
                  </w:pPr>
                  <w:r>
                    <w:rPr>
                      <w:rFonts w:cs="Times New Roman"/>
                      <w:b/>
                    </w:rPr>
                    <w:t xml:space="preserve">mg/kg  </w:t>
                  </w:r>
                </w:p>
                <w:p w:rsidR="00676680" w:rsidRDefault="00A837E4">
                  <w:pPr>
                    <w:rPr>
                      <w:rFonts w:cs="Times New Roman"/>
                      <w:b/>
                    </w:rPr>
                  </w:pPr>
                  <w:r>
                    <w:rPr>
                      <w:rFonts w:cs="Times New Roman"/>
                      <w:b/>
                    </w:rPr>
                    <w:t>(þurrvigt)</w:t>
                  </w:r>
                </w:p>
              </w:tc>
            </w:tr>
            <w:tr w:rsidR="00676680">
              <w:tc>
                <w:tcPr>
                  <w:tcW w:w="1364" w:type="dxa"/>
                </w:tcPr>
                <w:p w:rsidR="00676680" w:rsidRDefault="00A837E4">
                  <w:pPr>
                    <w:rPr>
                      <w:rFonts w:cs="Times New Roman"/>
                    </w:rPr>
                  </w:pPr>
                  <w:proofErr w:type="spellStart"/>
                  <w:r>
                    <w:rPr>
                      <w:rFonts w:cs="Times New Roman"/>
                    </w:rPr>
                    <w:t>Zn</w:t>
                  </w:r>
                  <w:proofErr w:type="spellEnd"/>
                </w:p>
              </w:tc>
              <w:tc>
                <w:tcPr>
                  <w:tcW w:w="1364" w:type="dxa"/>
                </w:tcPr>
                <w:p w:rsidR="00676680" w:rsidRDefault="00A837E4">
                  <w:pPr>
                    <w:rPr>
                      <w:rFonts w:cs="Times New Roman"/>
                    </w:rPr>
                  </w:pPr>
                  <w:r>
                    <w:rPr>
                      <w:rFonts w:cs="Times New Roman"/>
                    </w:rPr>
                    <w:t xml:space="preserve">300  </w:t>
                  </w:r>
                </w:p>
              </w:tc>
              <w:tc>
                <w:tcPr>
                  <w:tcW w:w="1365" w:type="dxa"/>
                </w:tcPr>
                <w:p w:rsidR="00676680" w:rsidRDefault="00676680">
                  <w:pPr>
                    <w:rPr>
                      <w:rFonts w:cs="Times New Roman"/>
                    </w:rPr>
                  </w:pPr>
                </w:p>
              </w:tc>
              <w:tc>
                <w:tcPr>
                  <w:tcW w:w="1365" w:type="dxa"/>
                </w:tcPr>
                <w:p w:rsidR="00676680" w:rsidRDefault="00A837E4">
                  <w:pPr>
                    <w:rPr>
                      <w:rFonts w:cs="Times New Roman"/>
                    </w:rPr>
                  </w:pPr>
                  <w:proofErr w:type="spellStart"/>
                  <w:r>
                    <w:rPr>
                      <w:rFonts w:cs="Times New Roman"/>
                    </w:rPr>
                    <w:t>Cr</w:t>
                  </w:r>
                  <w:proofErr w:type="spellEnd"/>
                </w:p>
              </w:tc>
              <w:tc>
                <w:tcPr>
                  <w:tcW w:w="1365" w:type="dxa"/>
                </w:tcPr>
                <w:p w:rsidR="00676680" w:rsidRDefault="00A837E4">
                  <w:pPr>
                    <w:rPr>
                      <w:rFonts w:cs="Times New Roman"/>
                    </w:rPr>
                  </w:pPr>
                  <w:r>
                    <w:rPr>
                      <w:rFonts w:cs="Times New Roman"/>
                    </w:rPr>
                    <w:t xml:space="preserve">100 </w:t>
                  </w:r>
                </w:p>
                <w:p w:rsidR="00676680" w:rsidRDefault="00676680">
                  <w:pPr>
                    <w:rPr>
                      <w:rFonts w:cs="Times New Roman"/>
                    </w:rPr>
                  </w:pPr>
                </w:p>
              </w:tc>
            </w:tr>
            <w:tr w:rsidR="00676680">
              <w:tc>
                <w:tcPr>
                  <w:tcW w:w="1364" w:type="dxa"/>
                </w:tcPr>
                <w:p w:rsidR="00676680" w:rsidRDefault="00A837E4">
                  <w:pPr>
                    <w:rPr>
                      <w:rFonts w:cs="Times New Roman"/>
                    </w:rPr>
                  </w:pPr>
                  <w:proofErr w:type="spellStart"/>
                  <w:r>
                    <w:rPr>
                      <w:rFonts w:cs="Times New Roman"/>
                    </w:rPr>
                    <w:t>Cu</w:t>
                  </w:r>
                  <w:proofErr w:type="spellEnd"/>
                </w:p>
              </w:tc>
              <w:tc>
                <w:tcPr>
                  <w:tcW w:w="1364" w:type="dxa"/>
                </w:tcPr>
                <w:p w:rsidR="00676680" w:rsidRDefault="00A837E4">
                  <w:pPr>
                    <w:rPr>
                      <w:rFonts w:cs="Times New Roman"/>
                    </w:rPr>
                  </w:pPr>
                  <w:r>
                    <w:rPr>
                      <w:rFonts w:cs="Times New Roman"/>
                    </w:rPr>
                    <w:t xml:space="preserve">100  </w:t>
                  </w:r>
                </w:p>
              </w:tc>
              <w:tc>
                <w:tcPr>
                  <w:tcW w:w="1365" w:type="dxa"/>
                </w:tcPr>
                <w:p w:rsidR="00676680" w:rsidRDefault="00676680">
                  <w:pPr>
                    <w:rPr>
                      <w:rFonts w:cs="Times New Roman"/>
                    </w:rPr>
                  </w:pPr>
                </w:p>
              </w:tc>
              <w:tc>
                <w:tcPr>
                  <w:tcW w:w="1365" w:type="dxa"/>
                </w:tcPr>
                <w:p w:rsidR="00676680" w:rsidRDefault="00A837E4">
                  <w:pPr>
                    <w:rPr>
                      <w:rFonts w:cs="Times New Roman"/>
                    </w:rPr>
                  </w:pPr>
                  <w:proofErr w:type="spellStart"/>
                  <w:r>
                    <w:rPr>
                      <w:rFonts w:cs="Times New Roman"/>
                    </w:rPr>
                    <w:t>Mo</w:t>
                  </w:r>
                  <w:proofErr w:type="spellEnd"/>
                  <w:r>
                    <w:rPr>
                      <w:rFonts w:cs="Times New Roman"/>
                    </w:rPr>
                    <w:t xml:space="preserve"> (*)</w:t>
                  </w:r>
                </w:p>
              </w:tc>
              <w:tc>
                <w:tcPr>
                  <w:tcW w:w="1365" w:type="dxa"/>
                </w:tcPr>
                <w:p w:rsidR="00676680" w:rsidRDefault="00A837E4">
                  <w:pPr>
                    <w:rPr>
                      <w:rFonts w:cs="Times New Roman"/>
                    </w:rPr>
                  </w:pPr>
                  <w:r>
                    <w:rPr>
                      <w:rFonts w:cs="Times New Roman"/>
                    </w:rPr>
                    <w:t xml:space="preserve">2 </w:t>
                  </w:r>
                </w:p>
                <w:p w:rsidR="00676680" w:rsidRDefault="00676680">
                  <w:pPr>
                    <w:rPr>
                      <w:rFonts w:cs="Times New Roman"/>
                    </w:rPr>
                  </w:pPr>
                </w:p>
              </w:tc>
            </w:tr>
            <w:tr w:rsidR="00676680">
              <w:tc>
                <w:tcPr>
                  <w:tcW w:w="1364" w:type="dxa"/>
                </w:tcPr>
                <w:p w:rsidR="00676680" w:rsidRDefault="00A837E4">
                  <w:pPr>
                    <w:rPr>
                      <w:rFonts w:cs="Times New Roman"/>
                    </w:rPr>
                  </w:pPr>
                  <w:proofErr w:type="spellStart"/>
                  <w:r>
                    <w:rPr>
                      <w:rFonts w:cs="Times New Roman"/>
                    </w:rPr>
                    <w:t>Ni</w:t>
                  </w:r>
                  <w:proofErr w:type="spellEnd"/>
                </w:p>
              </w:tc>
              <w:tc>
                <w:tcPr>
                  <w:tcW w:w="1364" w:type="dxa"/>
                </w:tcPr>
                <w:p w:rsidR="00676680" w:rsidRDefault="00A837E4">
                  <w:pPr>
                    <w:rPr>
                      <w:rFonts w:cs="Times New Roman"/>
                    </w:rPr>
                  </w:pPr>
                  <w:r>
                    <w:rPr>
                      <w:rFonts w:cs="Times New Roman"/>
                    </w:rPr>
                    <w:t xml:space="preserve">50 </w:t>
                  </w:r>
                </w:p>
                <w:p w:rsidR="00676680" w:rsidRDefault="00676680">
                  <w:pPr>
                    <w:rPr>
                      <w:rFonts w:cs="Times New Roman"/>
                    </w:rPr>
                  </w:pPr>
                </w:p>
              </w:tc>
              <w:tc>
                <w:tcPr>
                  <w:tcW w:w="1365" w:type="dxa"/>
                </w:tcPr>
                <w:p w:rsidR="00676680" w:rsidRDefault="00676680">
                  <w:pPr>
                    <w:rPr>
                      <w:rFonts w:cs="Times New Roman"/>
                    </w:rPr>
                  </w:pPr>
                </w:p>
              </w:tc>
              <w:tc>
                <w:tcPr>
                  <w:tcW w:w="1365" w:type="dxa"/>
                </w:tcPr>
                <w:p w:rsidR="00676680" w:rsidRDefault="00A837E4">
                  <w:pPr>
                    <w:rPr>
                      <w:rFonts w:cs="Times New Roman"/>
                    </w:rPr>
                  </w:pPr>
                  <w:proofErr w:type="spellStart"/>
                  <w:r>
                    <w:rPr>
                      <w:rFonts w:cs="Times New Roman"/>
                    </w:rPr>
                    <w:t>Se</w:t>
                  </w:r>
                  <w:proofErr w:type="spellEnd"/>
                  <w:r>
                    <w:rPr>
                      <w:rFonts w:cs="Times New Roman"/>
                    </w:rPr>
                    <w:t xml:space="preserve"> (*)</w:t>
                  </w:r>
                </w:p>
              </w:tc>
              <w:tc>
                <w:tcPr>
                  <w:tcW w:w="1365" w:type="dxa"/>
                </w:tcPr>
                <w:p w:rsidR="00676680" w:rsidRDefault="00A837E4">
                  <w:pPr>
                    <w:rPr>
                      <w:rFonts w:cs="Times New Roman"/>
                    </w:rPr>
                  </w:pPr>
                  <w:r>
                    <w:rPr>
                      <w:rFonts w:cs="Times New Roman"/>
                    </w:rPr>
                    <w:t>1.5</w:t>
                  </w:r>
                </w:p>
              </w:tc>
            </w:tr>
            <w:tr w:rsidR="00676680">
              <w:tc>
                <w:tcPr>
                  <w:tcW w:w="1364" w:type="dxa"/>
                </w:tcPr>
                <w:p w:rsidR="00676680" w:rsidRDefault="00A837E4">
                  <w:pPr>
                    <w:rPr>
                      <w:rFonts w:cs="Times New Roman"/>
                    </w:rPr>
                  </w:pPr>
                  <w:proofErr w:type="spellStart"/>
                  <w:r>
                    <w:rPr>
                      <w:rFonts w:cs="Times New Roman"/>
                    </w:rPr>
                    <w:t>Cd</w:t>
                  </w:r>
                  <w:proofErr w:type="spellEnd"/>
                </w:p>
              </w:tc>
              <w:tc>
                <w:tcPr>
                  <w:tcW w:w="1364" w:type="dxa"/>
                </w:tcPr>
                <w:p w:rsidR="00676680" w:rsidRDefault="00A837E4">
                  <w:pPr>
                    <w:rPr>
                      <w:rFonts w:cs="Times New Roman"/>
                    </w:rPr>
                  </w:pPr>
                  <w:r>
                    <w:rPr>
                      <w:rFonts w:cs="Times New Roman"/>
                    </w:rPr>
                    <w:t>1</w:t>
                  </w:r>
                </w:p>
              </w:tc>
              <w:tc>
                <w:tcPr>
                  <w:tcW w:w="1365" w:type="dxa"/>
                </w:tcPr>
                <w:p w:rsidR="00676680" w:rsidRDefault="00676680">
                  <w:pPr>
                    <w:rPr>
                      <w:rFonts w:cs="Times New Roman"/>
                    </w:rPr>
                  </w:pPr>
                </w:p>
              </w:tc>
              <w:tc>
                <w:tcPr>
                  <w:tcW w:w="1365" w:type="dxa"/>
                </w:tcPr>
                <w:p w:rsidR="00676680" w:rsidRDefault="00A837E4">
                  <w:pPr>
                    <w:rPr>
                      <w:rFonts w:cs="Times New Roman"/>
                    </w:rPr>
                  </w:pPr>
                  <w:proofErr w:type="spellStart"/>
                  <w:r>
                    <w:rPr>
                      <w:rFonts w:cs="Times New Roman"/>
                    </w:rPr>
                    <w:t>As</w:t>
                  </w:r>
                  <w:proofErr w:type="spellEnd"/>
                  <w:r>
                    <w:rPr>
                      <w:rFonts w:cs="Times New Roman"/>
                    </w:rPr>
                    <w:t xml:space="preserve"> (*)</w:t>
                  </w:r>
                </w:p>
              </w:tc>
              <w:tc>
                <w:tcPr>
                  <w:tcW w:w="1365" w:type="dxa"/>
                </w:tcPr>
                <w:p w:rsidR="00676680" w:rsidRDefault="00A837E4">
                  <w:pPr>
                    <w:rPr>
                      <w:rFonts w:cs="Times New Roman"/>
                    </w:rPr>
                  </w:pPr>
                  <w:r>
                    <w:rPr>
                      <w:rFonts w:cs="Times New Roman"/>
                    </w:rPr>
                    <w:t>10</w:t>
                  </w:r>
                </w:p>
              </w:tc>
            </w:tr>
            <w:tr w:rsidR="00676680">
              <w:tc>
                <w:tcPr>
                  <w:tcW w:w="1364" w:type="dxa"/>
                </w:tcPr>
                <w:p w:rsidR="00676680" w:rsidRDefault="00A837E4">
                  <w:pPr>
                    <w:rPr>
                      <w:rFonts w:cs="Times New Roman"/>
                    </w:rPr>
                  </w:pPr>
                  <w:proofErr w:type="spellStart"/>
                  <w:r>
                    <w:rPr>
                      <w:rFonts w:cs="Times New Roman"/>
                    </w:rPr>
                    <w:t>Pb</w:t>
                  </w:r>
                  <w:proofErr w:type="spellEnd"/>
                </w:p>
              </w:tc>
              <w:tc>
                <w:tcPr>
                  <w:tcW w:w="1364" w:type="dxa"/>
                </w:tcPr>
                <w:p w:rsidR="00676680" w:rsidRDefault="00A837E4">
                  <w:pPr>
                    <w:rPr>
                      <w:rFonts w:cs="Times New Roman"/>
                    </w:rPr>
                  </w:pPr>
                  <w:r>
                    <w:rPr>
                      <w:rFonts w:cs="Times New Roman"/>
                    </w:rPr>
                    <w:t>100</w:t>
                  </w:r>
                </w:p>
              </w:tc>
              <w:tc>
                <w:tcPr>
                  <w:tcW w:w="1365" w:type="dxa"/>
                </w:tcPr>
                <w:p w:rsidR="00676680" w:rsidRDefault="00676680">
                  <w:pPr>
                    <w:rPr>
                      <w:rFonts w:cs="Times New Roman"/>
                    </w:rPr>
                  </w:pPr>
                </w:p>
              </w:tc>
              <w:tc>
                <w:tcPr>
                  <w:tcW w:w="1365" w:type="dxa"/>
                </w:tcPr>
                <w:p w:rsidR="00676680" w:rsidRDefault="00A837E4">
                  <w:pPr>
                    <w:rPr>
                      <w:rFonts w:cs="Times New Roman"/>
                    </w:rPr>
                  </w:pPr>
                  <w:r>
                    <w:rPr>
                      <w:rFonts w:cs="Times New Roman"/>
                    </w:rPr>
                    <w:t>F (*)</w:t>
                  </w:r>
                </w:p>
              </w:tc>
              <w:tc>
                <w:tcPr>
                  <w:tcW w:w="1365" w:type="dxa"/>
                </w:tcPr>
                <w:p w:rsidR="00676680" w:rsidRDefault="00A837E4">
                  <w:pPr>
                    <w:rPr>
                      <w:rFonts w:cs="Times New Roman"/>
                    </w:rPr>
                  </w:pPr>
                  <w:r>
                    <w:rPr>
                      <w:rFonts w:cs="Times New Roman"/>
                    </w:rPr>
                    <w:t>200</w:t>
                  </w:r>
                </w:p>
              </w:tc>
            </w:tr>
            <w:tr w:rsidR="00676680">
              <w:tc>
                <w:tcPr>
                  <w:tcW w:w="1364" w:type="dxa"/>
                </w:tcPr>
                <w:p w:rsidR="00676680" w:rsidRDefault="00A837E4">
                  <w:pPr>
                    <w:rPr>
                      <w:rFonts w:cs="Times New Roman"/>
                    </w:rPr>
                  </w:pPr>
                  <w:proofErr w:type="spellStart"/>
                  <w:r>
                    <w:rPr>
                      <w:rFonts w:cs="Times New Roman"/>
                    </w:rPr>
                    <w:t>Hg</w:t>
                  </w:r>
                  <w:proofErr w:type="spellEnd"/>
                </w:p>
              </w:tc>
              <w:tc>
                <w:tcPr>
                  <w:tcW w:w="1364" w:type="dxa"/>
                </w:tcPr>
                <w:p w:rsidR="00676680" w:rsidRDefault="00A837E4">
                  <w:pPr>
                    <w:rPr>
                      <w:rFonts w:cs="Times New Roman"/>
                    </w:rPr>
                  </w:pPr>
                  <w:r>
                    <w:rPr>
                      <w:rFonts w:cs="Times New Roman"/>
                    </w:rPr>
                    <w:t>1</w:t>
                  </w:r>
                </w:p>
              </w:tc>
              <w:tc>
                <w:tcPr>
                  <w:tcW w:w="1365" w:type="dxa"/>
                </w:tcPr>
                <w:p w:rsidR="00676680" w:rsidRDefault="00676680">
                  <w:pPr>
                    <w:rPr>
                      <w:rFonts w:cs="Times New Roman"/>
                    </w:rPr>
                  </w:pPr>
                </w:p>
              </w:tc>
              <w:tc>
                <w:tcPr>
                  <w:tcW w:w="1365" w:type="dxa"/>
                </w:tcPr>
                <w:p w:rsidR="00676680" w:rsidRDefault="00676680">
                  <w:pPr>
                    <w:rPr>
                      <w:rFonts w:cs="Times New Roman"/>
                    </w:rPr>
                  </w:pPr>
                </w:p>
              </w:tc>
              <w:tc>
                <w:tcPr>
                  <w:tcW w:w="1365" w:type="dxa"/>
                </w:tcPr>
                <w:p w:rsidR="00676680" w:rsidRDefault="00676680">
                  <w:pPr>
                    <w:rPr>
                      <w:rFonts w:cs="Times New Roman"/>
                    </w:rPr>
                  </w:pPr>
                </w:p>
              </w:tc>
            </w:tr>
            <w:tr w:rsidR="00676680">
              <w:tc>
                <w:tcPr>
                  <w:tcW w:w="6823" w:type="dxa"/>
                  <w:gridSpan w:val="5"/>
                </w:tcPr>
                <w:p w:rsidR="00676680" w:rsidRDefault="00A837E4">
                  <w:pPr>
                    <w:rPr>
                      <w:rFonts w:cs="Times New Roman"/>
                    </w:rPr>
                  </w:pPr>
                  <w:r>
                    <w:rPr>
                      <w:rFonts w:cs="Times New Roman"/>
                    </w:rPr>
                    <w:t>(*)</w:t>
                  </w:r>
                  <w:r>
                    <w:t>Aðeins þarf að sýna gögn varðandi þessi efni þegar um iðnaðarúrgang er að ræða.</w:t>
                  </w:r>
                </w:p>
              </w:tc>
            </w:tr>
          </w:tbl>
          <w:p w:rsidR="00676680" w:rsidRDefault="00A837E4">
            <w:pPr>
              <w:rPr>
                <w:rFonts w:cs="Times New Roman"/>
              </w:rPr>
            </w:pPr>
            <w:r>
              <w:rPr>
                <w:b/>
              </w:rPr>
              <w:t>Staðfesting</w:t>
            </w:r>
            <w:r>
              <w:t>: Bjóðandi skal leggja fram viðeigandi prófunarskýrslur (EN 13650, ISO 16772 eða sambærilegt) sem sýna fram á að ofangreindum kröfum er fullnægt. Vörur sem eru umhverfismerktar (Tegund 1) og uppfylla ofangreindar kröfur teljast samræmast viðmiðunum eru fullnægjandi staðfesting. Önnur viðeigandi sönnunargögn, verða tekin gild.</w:t>
            </w:r>
          </w:p>
        </w:tc>
        <w:tc>
          <w:tcPr>
            <w:tcW w:w="6946" w:type="dxa"/>
          </w:tcPr>
          <w:p w:rsidR="00676680" w:rsidRDefault="00A837E4">
            <w:pPr>
              <w:rPr>
                <w:b/>
              </w:rPr>
            </w:pPr>
            <w:r>
              <w:rPr>
                <w:b/>
              </w:rPr>
              <w:lastRenderedPageBreak/>
              <w:t>3. Hættuleg efni í áburðargefandi jarðvegsbæti</w:t>
            </w:r>
          </w:p>
          <w:p w:rsidR="00676680" w:rsidRDefault="00A837E4">
            <w:r>
              <w:t>Hámarksstyrkur þungmálma í úrgangi fyrir meðhöndlun úrgangs (mg/kg þurrvigt) skal uppfylla neðangreindar kröfur um hættuleg efni. Hámarksstyrkur þungmálma (mældur sem þurrvigt) í lokaafurð skal vera lægri en hér segir:</w:t>
            </w:r>
          </w:p>
          <w:tbl>
            <w:tblPr>
              <w:tblStyle w:val="TableGrid"/>
              <w:tblW w:w="0" w:type="auto"/>
              <w:tblLayout w:type="fixed"/>
              <w:tblLook w:val="04A0" w:firstRow="1" w:lastRow="0" w:firstColumn="1" w:lastColumn="0" w:noHBand="0" w:noVBand="1"/>
            </w:tblPr>
            <w:tblGrid>
              <w:gridCol w:w="1364"/>
              <w:gridCol w:w="1364"/>
              <w:gridCol w:w="1365"/>
              <w:gridCol w:w="1365"/>
              <w:gridCol w:w="1365"/>
            </w:tblGrid>
            <w:tr w:rsidR="00676680">
              <w:tc>
                <w:tcPr>
                  <w:tcW w:w="1364" w:type="dxa"/>
                </w:tcPr>
                <w:p w:rsidR="00676680" w:rsidRDefault="00A837E4">
                  <w:pPr>
                    <w:rPr>
                      <w:rFonts w:cs="Times New Roman"/>
                      <w:b/>
                    </w:rPr>
                  </w:pPr>
                  <w:r>
                    <w:rPr>
                      <w:rFonts w:cs="Times New Roman"/>
                      <w:b/>
                    </w:rPr>
                    <w:lastRenderedPageBreak/>
                    <w:t>Frumefni</w:t>
                  </w:r>
                </w:p>
              </w:tc>
              <w:tc>
                <w:tcPr>
                  <w:tcW w:w="1364" w:type="dxa"/>
                </w:tcPr>
                <w:p w:rsidR="00676680" w:rsidRDefault="00A837E4">
                  <w:pPr>
                    <w:rPr>
                      <w:rFonts w:cs="Times New Roman"/>
                      <w:b/>
                    </w:rPr>
                  </w:pPr>
                  <w:r>
                    <w:rPr>
                      <w:rFonts w:cs="Times New Roman"/>
                      <w:b/>
                    </w:rPr>
                    <w:t xml:space="preserve">mg/kg  </w:t>
                  </w:r>
                </w:p>
                <w:p w:rsidR="00676680" w:rsidRDefault="00A837E4">
                  <w:pPr>
                    <w:rPr>
                      <w:rFonts w:cs="Times New Roman"/>
                      <w:b/>
                    </w:rPr>
                  </w:pPr>
                  <w:r>
                    <w:rPr>
                      <w:rFonts w:cs="Times New Roman"/>
                      <w:b/>
                    </w:rPr>
                    <w:t xml:space="preserve">(þurrvigt) </w:t>
                  </w:r>
                </w:p>
              </w:tc>
              <w:tc>
                <w:tcPr>
                  <w:tcW w:w="1365" w:type="dxa"/>
                </w:tcPr>
                <w:p w:rsidR="00676680" w:rsidRDefault="00676680">
                  <w:pPr>
                    <w:rPr>
                      <w:rFonts w:cs="Times New Roman"/>
                      <w:b/>
                    </w:rPr>
                  </w:pPr>
                </w:p>
              </w:tc>
              <w:tc>
                <w:tcPr>
                  <w:tcW w:w="1365" w:type="dxa"/>
                </w:tcPr>
                <w:p w:rsidR="00676680" w:rsidRDefault="00A837E4">
                  <w:pPr>
                    <w:rPr>
                      <w:rFonts w:cs="Times New Roman"/>
                      <w:b/>
                    </w:rPr>
                  </w:pPr>
                  <w:r>
                    <w:rPr>
                      <w:rFonts w:cs="Times New Roman"/>
                      <w:b/>
                    </w:rPr>
                    <w:t>Frumefni</w:t>
                  </w:r>
                </w:p>
              </w:tc>
              <w:tc>
                <w:tcPr>
                  <w:tcW w:w="1365" w:type="dxa"/>
                </w:tcPr>
                <w:p w:rsidR="00676680" w:rsidRDefault="00A837E4">
                  <w:pPr>
                    <w:rPr>
                      <w:rFonts w:cs="Times New Roman"/>
                      <w:b/>
                    </w:rPr>
                  </w:pPr>
                  <w:r>
                    <w:rPr>
                      <w:rFonts w:cs="Times New Roman"/>
                      <w:b/>
                    </w:rPr>
                    <w:t xml:space="preserve">mg/kg  </w:t>
                  </w:r>
                </w:p>
                <w:p w:rsidR="00676680" w:rsidRDefault="00A837E4">
                  <w:pPr>
                    <w:rPr>
                      <w:rFonts w:cs="Times New Roman"/>
                      <w:b/>
                    </w:rPr>
                  </w:pPr>
                  <w:r>
                    <w:rPr>
                      <w:rFonts w:cs="Times New Roman"/>
                      <w:b/>
                    </w:rPr>
                    <w:t>(þurrvigt)</w:t>
                  </w:r>
                </w:p>
              </w:tc>
            </w:tr>
            <w:tr w:rsidR="00676680">
              <w:tc>
                <w:tcPr>
                  <w:tcW w:w="1364" w:type="dxa"/>
                </w:tcPr>
                <w:p w:rsidR="00676680" w:rsidRDefault="00A837E4">
                  <w:pPr>
                    <w:rPr>
                      <w:rFonts w:cs="Times New Roman"/>
                    </w:rPr>
                  </w:pPr>
                  <w:proofErr w:type="spellStart"/>
                  <w:r>
                    <w:rPr>
                      <w:rFonts w:cs="Times New Roman"/>
                    </w:rPr>
                    <w:t>Zn</w:t>
                  </w:r>
                  <w:proofErr w:type="spellEnd"/>
                </w:p>
              </w:tc>
              <w:tc>
                <w:tcPr>
                  <w:tcW w:w="1364" w:type="dxa"/>
                </w:tcPr>
                <w:p w:rsidR="00676680" w:rsidRDefault="00A837E4">
                  <w:pPr>
                    <w:rPr>
                      <w:rFonts w:cs="Times New Roman"/>
                    </w:rPr>
                  </w:pPr>
                  <w:r>
                    <w:rPr>
                      <w:rFonts w:cs="Times New Roman"/>
                    </w:rPr>
                    <w:t xml:space="preserve">300  </w:t>
                  </w:r>
                </w:p>
              </w:tc>
              <w:tc>
                <w:tcPr>
                  <w:tcW w:w="1365" w:type="dxa"/>
                </w:tcPr>
                <w:p w:rsidR="00676680" w:rsidRDefault="00676680">
                  <w:pPr>
                    <w:rPr>
                      <w:rFonts w:cs="Times New Roman"/>
                    </w:rPr>
                  </w:pPr>
                </w:p>
              </w:tc>
              <w:tc>
                <w:tcPr>
                  <w:tcW w:w="1365" w:type="dxa"/>
                </w:tcPr>
                <w:p w:rsidR="00676680" w:rsidRDefault="00A837E4">
                  <w:pPr>
                    <w:rPr>
                      <w:rFonts w:cs="Times New Roman"/>
                    </w:rPr>
                  </w:pPr>
                  <w:proofErr w:type="spellStart"/>
                  <w:r>
                    <w:rPr>
                      <w:rFonts w:cs="Times New Roman"/>
                    </w:rPr>
                    <w:t>Cr</w:t>
                  </w:r>
                  <w:proofErr w:type="spellEnd"/>
                </w:p>
              </w:tc>
              <w:tc>
                <w:tcPr>
                  <w:tcW w:w="1365" w:type="dxa"/>
                </w:tcPr>
                <w:p w:rsidR="00676680" w:rsidRDefault="00A837E4">
                  <w:pPr>
                    <w:rPr>
                      <w:rFonts w:cs="Times New Roman"/>
                    </w:rPr>
                  </w:pPr>
                  <w:r>
                    <w:rPr>
                      <w:rFonts w:cs="Times New Roman"/>
                    </w:rPr>
                    <w:t xml:space="preserve">100 </w:t>
                  </w:r>
                </w:p>
                <w:p w:rsidR="00676680" w:rsidRDefault="00676680">
                  <w:pPr>
                    <w:rPr>
                      <w:rFonts w:cs="Times New Roman"/>
                    </w:rPr>
                  </w:pPr>
                </w:p>
              </w:tc>
            </w:tr>
            <w:tr w:rsidR="00676680">
              <w:tc>
                <w:tcPr>
                  <w:tcW w:w="1364" w:type="dxa"/>
                </w:tcPr>
                <w:p w:rsidR="00676680" w:rsidRDefault="00A837E4">
                  <w:pPr>
                    <w:rPr>
                      <w:rFonts w:cs="Times New Roman"/>
                    </w:rPr>
                  </w:pPr>
                  <w:proofErr w:type="spellStart"/>
                  <w:r>
                    <w:rPr>
                      <w:rFonts w:cs="Times New Roman"/>
                    </w:rPr>
                    <w:t>Cu</w:t>
                  </w:r>
                  <w:proofErr w:type="spellEnd"/>
                </w:p>
              </w:tc>
              <w:tc>
                <w:tcPr>
                  <w:tcW w:w="1364" w:type="dxa"/>
                </w:tcPr>
                <w:p w:rsidR="00676680" w:rsidRDefault="00A837E4">
                  <w:pPr>
                    <w:rPr>
                      <w:rFonts w:cs="Times New Roman"/>
                    </w:rPr>
                  </w:pPr>
                  <w:r>
                    <w:rPr>
                      <w:rFonts w:cs="Times New Roman"/>
                    </w:rPr>
                    <w:t xml:space="preserve">100  </w:t>
                  </w:r>
                </w:p>
              </w:tc>
              <w:tc>
                <w:tcPr>
                  <w:tcW w:w="1365" w:type="dxa"/>
                </w:tcPr>
                <w:p w:rsidR="00676680" w:rsidRDefault="00676680">
                  <w:pPr>
                    <w:rPr>
                      <w:rFonts w:cs="Times New Roman"/>
                    </w:rPr>
                  </w:pPr>
                </w:p>
              </w:tc>
              <w:tc>
                <w:tcPr>
                  <w:tcW w:w="1365" w:type="dxa"/>
                </w:tcPr>
                <w:p w:rsidR="00676680" w:rsidRDefault="00A837E4">
                  <w:pPr>
                    <w:rPr>
                      <w:rFonts w:cs="Times New Roman"/>
                    </w:rPr>
                  </w:pPr>
                  <w:proofErr w:type="spellStart"/>
                  <w:r>
                    <w:rPr>
                      <w:rFonts w:cs="Times New Roman"/>
                    </w:rPr>
                    <w:t>Mo</w:t>
                  </w:r>
                  <w:proofErr w:type="spellEnd"/>
                  <w:r>
                    <w:rPr>
                      <w:rFonts w:cs="Times New Roman"/>
                    </w:rPr>
                    <w:t xml:space="preserve"> (*)</w:t>
                  </w:r>
                </w:p>
              </w:tc>
              <w:tc>
                <w:tcPr>
                  <w:tcW w:w="1365" w:type="dxa"/>
                </w:tcPr>
                <w:p w:rsidR="00676680" w:rsidRDefault="00A837E4">
                  <w:pPr>
                    <w:rPr>
                      <w:rFonts w:cs="Times New Roman"/>
                    </w:rPr>
                  </w:pPr>
                  <w:r>
                    <w:rPr>
                      <w:rFonts w:cs="Times New Roman"/>
                    </w:rPr>
                    <w:t xml:space="preserve">2 </w:t>
                  </w:r>
                </w:p>
                <w:p w:rsidR="00676680" w:rsidRDefault="00676680">
                  <w:pPr>
                    <w:rPr>
                      <w:rFonts w:cs="Times New Roman"/>
                    </w:rPr>
                  </w:pPr>
                </w:p>
              </w:tc>
            </w:tr>
            <w:tr w:rsidR="00676680">
              <w:tc>
                <w:tcPr>
                  <w:tcW w:w="1364" w:type="dxa"/>
                </w:tcPr>
                <w:p w:rsidR="00676680" w:rsidRDefault="00A837E4">
                  <w:pPr>
                    <w:rPr>
                      <w:rFonts w:cs="Times New Roman"/>
                    </w:rPr>
                  </w:pPr>
                  <w:proofErr w:type="spellStart"/>
                  <w:r>
                    <w:rPr>
                      <w:rFonts w:cs="Times New Roman"/>
                    </w:rPr>
                    <w:t>Ni</w:t>
                  </w:r>
                  <w:proofErr w:type="spellEnd"/>
                </w:p>
              </w:tc>
              <w:tc>
                <w:tcPr>
                  <w:tcW w:w="1364" w:type="dxa"/>
                </w:tcPr>
                <w:p w:rsidR="00676680" w:rsidRDefault="00A837E4">
                  <w:pPr>
                    <w:rPr>
                      <w:rFonts w:cs="Times New Roman"/>
                    </w:rPr>
                  </w:pPr>
                  <w:r>
                    <w:rPr>
                      <w:rFonts w:cs="Times New Roman"/>
                    </w:rPr>
                    <w:t xml:space="preserve">50 </w:t>
                  </w:r>
                </w:p>
                <w:p w:rsidR="00676680" w:rsidRDefault="00676680">
                  <w:pPr>
                    <w:rPr>
                      <w:rFonts w:cs="Times New Roman"/>
                    </w:rPr>
                  </w:pPr>
                </w:p>
              </w:tc>
              <w:tc>
                <w:tcPr>
                  <w:tcW w:w="1365" w:type="dxa"/>
                </w:tcPr>
                <w:p w:rsidR="00676680" w:rsidRDefault="00676680">
                  <w:pPr>
                    <w:rPr>
                      <w:rFonts w:cs="Times New Roman"/>
                    </w:rPr>
                  </w:pPr>
                </w:p>
              </w:tc>
              <w:tc>
                <w:tcPr>
                  <w:tcW w:w="1365" w:type="dxa"/>
                </w:tcPr>
                <w:p w:rsidR="00676680" w:rsidRDefault="00A837E4">
                  <w:pPr>
                    <w:rPr>
                      <w:rFonts w:cs="Times New Roman"/>
                    </w:rPr>
                  </w:pPr>
                  <w:proofErr w:type="spellStart"/>
                  <w:r>
                    <w:rPr>
                      <w:rFonts w:cs="Times New Roman"/>
                    </w:rPr>
                    <w:t>Se</w:t>
                  </w:r>
                  <w:proofErr w:type="spellEnd"/>
                  <w:r>
                    <w:rPr>
                      <w:rFonts w:cs="Times New Roman"/>
                    </w:rPr>
                    <w:t xml:space="preserve"> (*)</w:t>
                  </w:r>
                </w:p>
              </w:tc>
              <w:tc>
                <w:tcPr>
                  <w:tcW w:w="1365" w:type="dxa"/>
                </w:tcPr>
                <w:p w:rsidR="00676680" w:rsidRDefault="00A837E4">
                  <w:pPr>
                    <w:rPr>
                      <w:rFonts w:cs="Times New Roman"/>
                    </w:rPr>
                  </w:pPr>
                  <w:r>
                    <w:rPr>
                      <w:rFonts w:cs="Times New Roman"/>
                    </w:rPr>
                    <w:t>1.5</w:t>
                  </w:r>
                </w:p>
              </w:tc>
            </w:tr>
            <w:tr w:rsidR="00676680">
              <w:tc>
                <w:tcPr>
                  <w:tcW w:w="1364" w:type="dxa"/>
                </w:tcPr>
                <w:p w:rsidR="00676680" w:rsidRDefault="00A837E4">
                  <w:pPr>
                    <w:rPr>
                      <w:rFonts w:cs="Times New Roman"/>
                    </w:rPr>
                  </w:pPr>
                  <w:proofErr w:type="spellStart"/>
                  <w:r>
                    <w:rPr>
                      <w:rFonts w:cs="Times New Roman"/>
                    </w:rPr>
                    <w:t>Cd</w:t>
                  </w:r>
                  <w:proofErr w:type="spellEnd"/>
                </w:p>
              </w:tc>
              <w:tc>
                <w:tcPr>
                  <w:tcW w:w="1364" w:type="dxa"/>
                </w:tcPr>
                <w:p w:rsidR="00676680" w:rsidRDefault="00A837E4">
                  <w:pPr>
                    <w:rPr>
                      <w:rFonts w:cs="Times New Roman"/>
                    </w:rPr>
                  </w:pPr>
                  <w:r>
                    <w:rPr>
                      <w:rFonts w:cs="Times New Roman"/>
                    </w:rPr>
                    <w:t>1</w:t>
                  </w:r>
                </w:p>
              </w:tc>
              <w:tc>
                <w:tcPr>
                  <w:tcW w:w="1365" w:type="dxa"/>
                </w:tcPr>
                <w:p w:rsidR="00676680" w:rsidRDefault="00676680">
                  <w:pPr>
                    <w:rPr>
                      <w:rFonts w:cs="Times New Roman"/>
                    </w:rPr>
                  </w:pPr>
                </w:p>
              </w:tc>
              <w:tc>
                <w:tcPr>
                  <w:tcW w:w="1365" w:type="dxa"/>
                </w:tcPr>
                <w:p w:rsidR="00676680" w:rsidRDefault="00A837E4">
                  <w:pPr>
                    <w:rPr>
                      <w:rFonts w:cs="Times New Roman"/>
                    </w:rPr>
                  </w:pPr>
                  <w:proofErr w:type="spellStart"/>
                  <w:r>
                    <w:rPr>
                      <w:rFonts w:cs="Times New Roman"/>
                    </w:rPr>
                    <w:t>As</w:t>
                  </w:r>
                  <w:proofErr w:type="spellEnd"/>
                  <w:r>
                    <w:rPr>
                      <w:rFonts w:cs="Times New Roman"/>
                    </w:rPr>
                    <w:t xml:space="preserve"> (*)</w:t>
                  </w:r>
                </w:p>
              </w:tc>
              <w:tc>
                <w:tcPr>
                  <w:tcW w:w="1365" w:type="dxa"/>
                </w:tcPr>
                <w:p w:rsidR="00676680" w:rsidRDefault="00A837E4">
                  <w:pPr>
                    <w:rPr>
                      <w:rFonts w:cs="Times New Roman"/>
                    </w:rPr>
                  </w:pPr>
                  <w:r>
                    <w:rPr>
                      <w:rFonts w:cs="Times New Roman"/>
                    </w:rPr>
                    <w:t>10</w:t>
                  </w:r>
                </w:p>
              </w:tc>
            </w:tr>
            <w:tr w:rsidR="00676680">
              <w:tc>
                <w:tcPr>
                  <w:tcW w:w="1364" w:type="dxa"/>
                </w:tcPr>
                <w:p w:rsidR="00676680" w:rsidRDefault="00A837E4">
                  <w:pPr>
                    <w:rPr>
                      <w:rFonts w:cs="Times New Roman"/>
                    </w:rPr>
                  </w:pPr>
                  <w:proofErr w:type="spellStart"/>
                  <w:r>
                    <w:rPr>
                      <w:rFonts w:cs="Times New Roman"/>
                    </w:rPr>
                    <w:t>Pb</w:t>
                  </w:r>
                  <w:proofErr w:type="spellEnd"/>
                </w:p>
              </w:tc>
              <w:tc>
                <w:tcPr>
                  <w:tcW w:w="1364" w:type="dxa"/>
                </w:tcPr>
                <w:p w:rsidR="00676680" w:rsidRDefault="00A837E4">
                  <w:pPr>
                    <w:rPr>
                      <w:rFonts w:cs="Times New Roman"/>
                    </w:rPr>
                  </w:pPr>
                  <w:r>
                    <w:rPr>
                      <w:rFonts w:cs="Times New Roman"/>
                    </w:rPr>
                    <w:t>100</w:t>
                  </w:r>
                </w:p>
              </w:tc>
              <w:tc>
                <w:tcPr>
                  <w:tcW w:w="1365" w:type="dxa"/>
                </w:tcPr>
                <w:p w:rsidR="00676680" w:rsidRDefault="00676680">
                  <w:pPr>
                    <w:rPr>
                      <w:rFonts w:cs="Times New Roman"/>
                    </w:rPr>
                  </w:pPr>
                </w:p>
              </w:tc>
              <w:tc>
                <w:tcPr>
                  <w:tcW w:w="1365" w:type="dxa"/>
                </w:tcPr>
                <w:p w:rsidR="00676680" w:rsidRDefault="00A837E4">
                  <w:pPr>
                    <w:rPr>
                      <w:rFonts w:cs="Times New Roman"/>
                    </w:rPr>
                  </w:pPr>
                  <w:r>
                    <w:rPr>
                      <w:rFonts w:cs="Times New Roman"/>
                    </w:rPr>
                    <w:t>F (*)</w:t>
                  </w:r>
                </w:p>
              </w:tc>
              <w:tc>
                <w:tcPr>
                  <w:tcW w:w="1365" w:type="dxa"/>
                </w:tcPr>
                <w:p w:rsidR="00676680" w:rsidRDefault="00A837E4">
                  <w:pPr>
                    <w:rPr>
                      <w:rFonts w:cs="Times New Roman"/>
                    </w:rPr>
                  </w:pPr>
                  <w:r>
                    <w:rPr>
                      <w:rFonts w:cs="Times New Roman"/>
                    </w:rPr>
                    <w:t>200</w:t>
                  </w:r>
                </w:p>
              </w:tc>
            </w:tr>
            <w:tr w:rsidR="00676680">
              <w:tc>
                <w:tcPr>
                  <w:tcW w:w="1364" w:type="dxa"/>
                </w:tcPr>
                <w:p w:rsidR="00676680" w:rsidRDefault="00A837E4">
                  <w:pPr>
                    <w:rPr>
                      <w:rFonts w:cs="Times New Roman"/>
                    </w:rPr>
                  </w:pPr>
                  <w:proofErr w:type="spellStart"/>
                  <w:r>
                    <w:rPr>
                      <w:rFonts w:cs="Times New Roman"/>
                    </w:rPr>
                    <w:t>Hg</w:t>
                  </w:r>
                  <w:proofErr w:type="spellEnd"/>
                </w:p>
              </w:tc>
              <w:tc>
                <w:tcPr>
                  <w:tcW w:w="1364" w:type="dxa"/>
                </w:tcPr>
                <w:p w:rsidR="00676680" w:rsidRDefault="00A837E4">
                  <w:pPr>
                    <w:rPr>
                      <w:rFonts w:cs="Times New Roman"/>
                    </w:rPr>
                  </w:pPr>
                  <w:r>
                    <w:rPr>
                      <w:rFonts w:cs="Times New Roman"/>
                    </w:rPr>
                    <w:t>1</w:t>
                  </w:r>
                </w:p>
              </w:tc>
              <w:tc>
                <w:tcPr>
                  <w:tcW w:w="1365" w:type="dxa"/>
                </w:tcPr>
                <w:p w:rsidR="00676680" w:rsidRDefault="00676680">
                  <w:pPr>
                    <w:rPr>
                      <w:rFonts w:cs="Times New Roman"/>
                    </w:rPr>
                  </w:pPr>
                </w:p>
              </w:tc>
              <w:tc>
                <w:tcPr>
                  <w:tcW w:w="1365" w:type="dxa"/>
                </w:tcPr>
                <w:p w:rsidR="00676680" w:rsidRDefault="00676680">
                  <w:pPr>
                    <w:rPr>
                      <w:rFonts w:cs="Times New Roman"/>
                    </w:rPr>
                  </w:pPr>
                </w:p>
              </w:tc>
              <w:tc>
                <w:tcPr>
                  <w:tcW w:w="1365" w:type="dxa"/>
                </w:tcPr>
                <w:p w:rsidR="00676680" w:rsidRDefault="00676680">
                  <w:pPr>
                    <w:rPr>
                      <w:rFonts w:cs="Times New Roman"/>
                    </w:rPr>
                  </w:pPr>
                </w:p>
              </w:tc>
            </w:tr>
            <w:tr w:rsidR="00676680">
              <w:tc>
                <w:tcPr>
                  <w:tcW w:w="6823" w:type="dxa"/>
                  <w:gridSpan w:val="5"/>
                </w:tcPr>
                <w:p w:rsidR="00676680" w:rsidRDefault="00A837E4">
                  <w:pPr>
                    <w:rPr>
                      <w:rFonts w:cs="Times New Roman"/>
                    </w:rPr>
                  </w:pPr>
                  <w:r>
                    <w:rPr>
                      <w:rFonts w:cs="Times New Roman"/>
                    </w:rPr>
                    <w:t>(*)</w:t>
                  </w:r>
                  <w:r>
                    <w:t>Aðeins þarf að sýna gögn varðandi þessi efni þegar um iðnaðarúrgang er að ræða.</w:t>
                  </w:r>
                </w:p>
              </w:tc>
            </w:tr>
          </w:tbl>
          <w:p w:rsidR="00676680" w:rsidRDefault="00A837E4">
            <w:r>
              <w:rPr>
                <w:b/>
              </w:rPr>
              <w:t>Staðfesting</w:t>
            </w:r>
            <w:r>
              <w:t>: Bjóðandi skal leggja fram viðeigandi prófunarskýrslur (EN 13650, ISO 16772 eða sambærilegt) sem sýna fram á að ofangreindum kröfum er fullnægt. Vörur sem eru umhverfismerktar (Tegund 1) og uppfylla ofangreindar kröfur teljast samræmast viðmiðunum eru fullnægjandi staðfesting. Önnur viðeigandi sönnunargögn, verða tekin gild..</w:t>
            </w:r>
          </w:p>
        </w:tc>
      </w:tr>
      <w:tr w:rsidR="00676680">
        <w:tc>
          <w:tcPr>
            <w:tcW w:w="7054" w:type="dxa"/>
          </w:tcPr>
          <w:p w:rsidR="00676680" w:rsidRDefault="00A837E4">
            <w:pPr>
              <w:pStyle w:val="ListParagraph"/>
              <w:numPr>
                <w:ilvl w:val="0"/>
                <w:numId w:val="18"/>
              </w:numPr>
              <w:rPr>
                <w:b/>
              </w:rPr>
            </w:pPr>
            <w:r>
              <w:rPr>
                <w:b/>
              </w:rPr>
              <w:lastRenderedPageBreak/>
              <w:t>Smurolíur</w:t>
            </w:r>
          </w:p>
          <w:p w:rsidR="00676680" w:rsidRDefault="00A837E4">
            <w:pPr>
              <w:rPr>
                <w:b/>
              </w:rPr>
            </w:pPr>
            <w:r>
              <w:t>Smurolíur sem notaðar verða við garðyrkjuþjónustuna skulu vera niðurbrjótanlegar og ekki eitraðar.Því skal kolefnisinnihald smurolíanna að vera frá endurnýjanlegum hráefnum (</w:t>
            </w:r>
            <w:proofErr w:type="spellStart"/>
            <w:r>
              <w:t>upprunið</w:t>
            </w:r>
            <w:proofErr w:type="spellEnd"/>
            <w:r>
              <w:t xml:space="preserve"> frá jurtaolíum eða dýrafeiti) samkvæmt eftirfarandi: </w:t>
            </w:r>
          </w:p>
          <w:p w:rsidR="00676680" w:rsidRDefault="00A837E4">
            <w:pPr>
              <w:pStyle w:val="ListParagraph"/>
              <w:numPr>
                <w:ilvl w:val="0"/>
                <w:numId w:val="33"/>
              </w:numPr>
            </w:pPr>
            <w:r>
              <w:lastRenderedPageBreak/>
              <w:t xml:space="preserve">≥ 50 % (m/m) fyrir olíur í vökvakerfum (e. </w:t>
            </w:r>
            <w:proofErr w:type="spellStart"/>
            <w:r>
              <w:t>hydraulicoils</w:t>
            </w:r>
            <w:proofErr w:type="spellEnd"/>
            <w:r>
              <w:t xml:space="preserve">) </w:t>
            </w:r>
          </w:p>
          <w:p w:rsidR="00676680" w:rsidRDefault="00A837E4">
            <w:pPr>
              <w:pStyle w:val="ListParagraph"/>
              <w:numPr>
                <w:ilvl w:val="0"/>
                <w:numId w:val="33"/>
              </w:numPr>
            </w:pPr>
            <w:r>
              <w:t xml:space="preserve">≥ 45 % (m/m) fyrir smurningsfeiti </w:t>
            </w:r>
          </w:p>
          <w:p w:rsidR="00676680" w:rsidRDefault="00A837E4">
            <w:pPr>
              <w:pStyle w:val="ListParagraph"/>
              <w:numPr>
                <w:ilvl w:val="0"/>
                <w:numId w:val="33"/>
              </w:numPr>
            </w:pPr>
            <w:r>
              <w:t xml:space="preserve">≥ 70 % (m/m) fyrir olíur á keðjusög og aðrar smurolíur </w:t>
            </w:r>
          </w:p>
          <w:p w:rsidR="00676680" w:rsidRDefault="00A837E4">
            <w:pPr>
              <w:pStyle w:val="ListParagraph"/>
              <w:numPr>
                <w:ilvl w:val="0"/>
                <w:numId w:val="33"/>
              </w:numPr>
            </w:pPr>
            <w:r>
              <w:t xml:space="preserve">≥ 50 % (m/m) fyrir tvígengisolíur </w:t>
            </w:r>
          </w:p>
          <w:p w:rsidR="00676680" w:rsidRDefault="00A837E4">
            <w:r>
              <w:rPr>
                <w:b/>
              </w:rPr>
              <w:t>Staðfesting</w:t>
            </w:r>
            <w:r>
              <w:t>: Bjóðandi skal leggja fram lista yfir smurolíur sem notaðar verða við garðyrkjuþjónustuna (framleiðandi og heiti).Vörur sem eru umhverfismerktar (Tegund 1) og uppfylla ofangreindar kröfur teljast samræmast viðmiðunum eru fullnægjandi staðfesting. Önnur viðeigandi sönnunargögn, verða tekin gild.</w:t>
            </w:r>
          </w:p>
        </w:tc>
        <w:tc>
          <w:tcPr>
            <w:tcW w:w="6946" w:type="dxa"/>
          </w:tcPr>
          <w:p w:rsidR="00676680" w:rsidRDefault="00A837E4">
            <w:pPr>
              <w:rPr>
                <w:b/>
              </w:rPr>
            </w:pPr>
            <w:r>
              <w:rPr>
                <w:b/>
              </w:rPr>
              <w:lastRenderedPageBreak/>
              <w:t>4. Smurolíur</w:t>
            </w:r>
          </w:p>
          <w:p w:rsidR="00676680" w:rsidRDefault="00A837E4">
            <w:r>
              <w:t>Smurolíur sem notaðar verða við garðyrkjuþjónustuna skulu vera niðurbrjótanlegar og ekki eitraðar.Því skal kolefnisinnihald smurolíanna að vera frá endurnýjanlegum hráefnum (</w:t>
            </w:r>
            <w:proofErr w:type="spellStart"/>
            <w:r>
              <w:t>upprunið</w:t>
            </w:r>
            <w:proofErr w:type="spellEnd"/>
            <w:r>
              <w:t xml:space="preserve"> frá jurtaolíum eða dýrafeiti) samkvæmt eftirfarandi: </w:t>
            </w:r>
          </w:p>
          <w:p w:rsidR="00676680" w:rsidRDefault="00A837E4">
            <w:pPr>
              <w:pStyle w:val="ListParagraph"/>
              <w:numPr>
                <w:ilvl w:val="0"/>
                <w:numId w:val="33"/>
              </w:numPr>
            </w:pPr>
            <w:r>
              <w:lastRenderedPageBreak/>
              <w:t xml:space="preserve">≥ 50 % (m/m) fyrir olíur í vökvakerfum (e. </w:t>
            </w:r>
            <w:proofErr w:type="spellStart"/>
            <w:r>
              <w:t>hydraulicoils</w:t>
            </w:r>
            <w:proofErr w:type="spellEnd"/>
            <w:r>
              <w:t xml:space="preserve">) </w:t>
            </w:r>
          </w:p>
          <w:p w:rsidR="00676680" w:rsidRDefault="00A837E4">
            <w:pPr>
              <w:pStyle w:val="ListParagraph"/>
              <w:numPr>
                <w:ilvl w:val="0"/>
                <w:numId w:val="33"/>
              </w:numPr>
            </w:pPr>
            <w:r>
              <w:t xml:space="preserve">≥ 45 % (m/m) fyrir smurningsfeiti </w:t>
            </w:r>
          </w:p>
          <w:p w:rsidR="00676680" w:rsidRDefault="00A837E4">
            <w:pPr>
              <w:pStyle w:val="ListParagraph"/>
              <w:numPr>
                <w:ilvl w:val="0"/>
                <w:numId w:val="33"/>
              </w:numPr>
            </w:pPr>
            <w:r>
              <w:t xml:space="preserve">≥ 70 % (m/m) fyrir olíur á keðjusög og aðrar smurolíur </w:t>
            </w:r>
          </w:p>
          <w:p w:rsidR="00676680" w:rsidRDefault="00A837E4">
            <w:pPr>
              <w:pStyle w:val="ListParagraph"/>
              <w:numPr>
                <w:ilvl w:val="0"/>
                <w:numId w:val="33"/>
              </w:numPr>
            </w:pPr>
            <w:r>
              <w:t xml:space="preserve">≥ 50 % (m/m) fyrir tvígengisolíur </w:t>
            </w:r>
          </w:p>
          <w:p w:rsidR="00676680" w:rsidRDefault="00A837E4">
            <w:r>
              <w:rPr>
                <w:b/>
              </w:rPr>
              <w:t>Staðfesting</w:t>
            </w:r>
            <w:r>
              <w:t>: Bjóðandi skal leggja fram lista yfir smurolíur sem notaðar verða við garðyrkjuþjónustuna (framleiðandi og heiti). Vörur sem eru umhverfismerktar (Tegund 1) og uppfylla ofangreindar kröfur teljast samræmast viðmiðunum eru fullnægjandi staðfesting. Önnur viðeigandi sönnunargögn, verða tekin gild.</w:t>
            </w:r>
          </w:p>
        </w:tc>
      </w:tr>
      <w:tr w:rsidR="00676680">
        <w:tc>
          <w:tcPr>
            <w:tcW w:w="7054" w:type="dxa"/>
          </w:tcPr>
          <w:p w:rsidR="00676680" w:rsidRDefault="00A837E4">
            <w:pPr>
              <w:pStyle w:val="ListParagraph"/>
              <w:numPr>
                <w:ilvl w:val="0"/>
                <w:numId w:val="18"/>
              </w:numPr>
              <w:rPr>
                <w:b/>
              </w:rPr>
            </w:pPr>
            <w:r>
              <w:rPr>
                <w:b/>
              </w:rPr>
              <w:lastRenderedPageBreak/>
              <w:t>Vökvunaraðferðir</w:t>
            </w:r>
          </w:p>
          <w:p w:rsidR="00676680" w:rsidRDefault="00A837E4">
            <w:pPr>
              <w:pStyle w:val="ListParagraph"/>
              <w:numPr>
                <w:ilvl w:val="1"/>
                <w:numId w:val="18"/>
              </w:numPr>
              <w:rPr>
                <w:b/>
              </w:rPr>
            </w:pPr>
            <w:r>
              <w:rPr>
                <w:b/>
              </w:rPr>
              <w:t xml:space="preserve">Við stjórnun á vökvun og vatnsnotkun skal: </w:t>
            </w:r>
          </w:p>
          <w:p w:rsidR="00676680" w:rsidRDefault="00A837E4">
            <w:pPr>
              <w:pStyle w:val="ListParagraph"/>
              <w:numPr>
                <w:ilvl w:val="0"/>
                <w:numId w:val="25"/>
              </w:numPr>
            </w:pPr>
            <w:r>
              <w:t>hámarka notkun á vatni sem ekki er ætlað til drykkjar (rigningarvatn, grunnvatn eða endurnýtt vatn).</w:t>
            </w:r>
          </w:p>
          <w:p w:rsidR="00676680" w:rsidRDefault="00A837E4">
            <w:pPr>
              <w:pStyle w:val="ListParagraph"/>
              <w:numPr>
                <w:ilvl w:val="0"/>
                <w:numId w:val="25"/>
              </w:numPr>
            </w:pPr>
            <w:r>
              <w:t>leggja lífrænt lag í beð til að koma í veg fyrir uppgufun, beð tilgreind af verkkaupa.</w:t>
            </w:r>
          </w:p>
          <w:p w:rsidR="00676680" w:rsidRDefault="00A837E4">
            <w:pPr>
              <w:pStyle w:val="ListParagraph"/>
              <w:numPr>
                <w:ilvl w:val="0"/>
                <w:numId w:val="25"/>
              </w:numPr>
            </w:pPr>
            <w:r>
              <w:t>nota sjálfvirkt vökvunarkerfi eins og skilgreint er af verkkaupa.</w:t>
            </w:r>
          </w:p>
          <w:p w:rsidR="00676680" w:rsidRDefault="00A837E4">
            <w:pPr>
              <w:pStyle w:val="ListParagraph"/>
              <w:numPr>
                <w:ilvl w:val="0"/>
                <w:numId w:val="25"/>
              </w:numPr>
            </w:pPr>
            <w:r>
              <w:t>skila reglulega inn skýrslum um vatnsnotkun.</w:t>
            </w:r>
          </w:p>
          <w:p w:rsidR="00676680" w:rsidRDefault="00A837E4">
            <w:r>
              <w:rPr>
                <w:b/>
              </w:rPr>
              <w:t>Staðfesting</w:t>
            </w:r>
            <w:r>
              <w:t>:  Bjóðandi skal leggja fram viðeigandi skjöl til að sanna að kröfur séu uppfylltar.Verkkaupi leggur til gögn um vatnsbúskap og einkenni svæðisins m.t.t. loftslags og staðsetningu vökvunarkerfisins.</w:t>
            </w:r>
          </w:p>
          <w:p w:rsidR="00676680" w:rsidRDefault="00A837E4">
            <w:pPr>
              <w:pStyle w:val="ListParagraph"/>
              <w:numPr>
                <w:ilvl w:val="1"/>
                <w:numId w:val="18"/>
              </w:numPr>
              <w:rPr>
                <w:b/>
              </w:rPr>
            </w:pPr>
            <w:r>
              <w:rPr>
                <w:b/>
              </w:rPr>
              <w:t xml:space="preserve">Sjálfvirkt vökvunarkerfi skal uppfylla eftirfarandi kröfur: </w:t>
            </w:r>
          </w:p>
          <w:p w:rsidR="00676680" w:rsidRDefault="00A837E4">
            <w:pPr>
              <w:pStyle w:val="ListParagraph"/>
              <w:numPr>
                <w:ilvl w:val="0"/>
                <w:numId w:val="27"/>
              </w:numPr>
            </w:pPr>
            <w:r>
              <w:t>vatnsmagn vökvunarkerfisins skal vera stillanlegt eftir svæðum.</w:t>
            </w:r>
          </w:p>
          <w:p w:rsidR="00676680" w:rsidRDefault="00A837E4">
            <w:pPr>
              <w:pStyle w:val="ListParagraph"/>
              <w:numPr>
                <w:ilvl w:val="0"/>
                <w:numId w:val="27"/>
              </w:numPr>
            </w:pPr>
            <w:r>
              <w:t>vera búið tímastilli sem nota má til að stýra vökvunartímanum.</w:t>
            </w:r>
          </w:p>
          <w:p w:rsidR="00676680" w:rsidRDefault="00A837E4">
            <w:pPr>
              <w:pStyle w:val="ListParagraph"/>
              <w:numPr>
                <w:ilvl w:val="0"/>
                <w:numId w:val="27"/>
              </w:numPr>
            </w:pPr>
            <w:r>
              <w:t>vera útbúið rakamæli sem mælir raka í jarðvegi og getur sjálfvirkt stöðvað vökvun þegar raki í jarðvegi er nægjanlegur (t.d. eftir rigningu).</w:t>
            </w:r>
          </w:p>
          <w:p w:rsidR="00676680" w:rsidRDefault="00A837E4">
            <w:pPr>
              <w:pStyle w:val="ListParagraph"/>
              <w:numPr>
                <w:ilvl w:val="0"/>
                <w:numId w:val="27"/>
              </w:numPr>
            </w:pPr>
            <w:r>
              <w:t xml:space="preserve">endurnýtir vatn sem getur verið blanda af rigningarvatni, grunnvatni eða hreinsuðu grávatni,þar sem verkkaupi telur </w:t>
            </w:r>
            <w:r>
              <w:lastRenderedPageBreak/>
              <w:t>ákjósanlegt.</w:t>
            </w:r>
          </w:p>
          <w:p w:rsidR="00676680" w:rsidRDefault="00A837E4">
            <w:r>
              <w:rPr>
                <w:b/>
              </w:rPr>
              <w:t>Staðfesting</w:t>
            </w:r>
            <w:r>
              <w:t>:  Bjóðandi skal leggja fram viðeigandi tæknigögn til að sanna að kröfur séu uppfylltar. Verkkaupi leggur til gögn um vatnsbúskap og einkenni svæðisins m.t.t. loftslags og staðsetningu vökvunarkerfisins.</w:t>
            </w:r>
          </w:p>
        </w:tc>
        <w:tc>
          <w:tcPr>
            <w:tcW w:w="6946" w:type="dxa"/>
          </w:tcPr>
          <w:p w:rsidR="00676680" w:rsidRDefault="00A837E4">
            <w:pPr>
              <w:pStyle w:val="ListParagraph"/>
              <w:numPr>
                <w:ilvl w:val="0"/>
                <w:numId w:val="38"/>
              </w:numPr>
              <w:rPr>
                <w:b/>
              </w:rPr>
            </w:pPr>
            <w:r>
              <w:rPr>
                <w:b/>
              </w:rPr>
              <w:lastRenderedPageBreak/>
              <w:t>Vökvunaraðferðir</w:t>
            </w:r>
          </w:p>
          <w:p w:rsidR="00676680" w:rsidRDefault="00A837E4">
            <w:pPr>
              <w:pStyle w:val="ListParagraph"/>
              <w:numPr>
                <w:ilvl w:val="1"/>
                <w:numId w:val="38"/>
              </w:numPr>
              <w:rPr>
                <w:b/>
              </w:rPr>
            </w:pPr>
            <w:r>
              <w:rPr>
                <w:b/>
              </w:rPr>
              <w:t xml:space="preserve">Við stjórnun á vökvun og vatnsnotkun skal: </w:t>
            </w:r>
          </w:p>
          <w:p w:rsidR="00676680" w:rsidRDefault="00A837E4">
            <w:pPr>
              <w:pStyle w:val="ListParagraph"/>
              <w:numPr>
                <w:ilvl w:val="0"/>
                <w:numId w:val="26"/>
              </w:numPr>
            </w:pPr>
            <w:r>
              <w:t>hámarka notkun á vatni sem ekki er ætlað til drykkjar (rigningarvatn, grunnvatn eða endurnýtt vatn).</w:t>
            </w:r>
          </w:p>
          <w:p w:rsidR="00676680" w:rsidRDefault="00A837E4">
            <w:pPr>
              <w:pStyle w:val="ListParagraph"/>
              <w:numPr>
                <w:ilvl w:val="0"/>
                <w:numId w:val="26"/>
              </w:numPr>
            </w:pPr>
            <w:r>
              <w:t>leggja lífrænt lag í beð til að koma í veg fyrir uppgufun, beð tilgreind af verkkaupa.</w:t>
            </w:r>
          </w:p>
          <w:p w:rsidR="00676680" w:rsidRDefault="00A837E4">
            <w:pPr>
              <w:pStyle w:val="ListParagraph"/>
              <w:numPr>
                <w:ilvl w:val="0"/>
                <w:numId w:val="26"/>
              </w:numPr>
            </w:pPr>
            <w:r>
              <w:t>nota sjálfvirkt vökvunarkerfi eins og skilgreint er af verkkaupa.</w:t>
            </w:r>
          </w:p>
          <w:p w:rsidR="00676680" w:rsidRDefault="00A837E4">
            <w:pPr>
              <w:pStyle w:val="ListParagraph"/>
              <w:numPr>
                <w:ilvl w:val="0"/>
                <w:numId w:val="26"/>
              </w:numPr>
            </w:pPr>
            <w:r>
              <w:t>skila reglulega inn skýrslum um vatnsnotkun.</w:t>
            </w:r>
          </w:p>
          <w:p w:rsidR="00676680" w:rsidRDefault="00A837E4">
            <w:pPr>
              <w:pStyle w:val="ListParagraph"/>
              <w:numPr>
                <w:ilvl w:val="0"/>
                <w:numId w:val="26"/>
              </w:numPr>
            </w:pPr>
            <w:r>
              <w:t>skilgreina vatnsþörf svæðisins, byggða á athugunum á vatnsbúskap, innan mánaðar eftir að þjónustusamningur liggur fyrir.</w:t>
            </w:r>
          </w:p>
          <w:p w:rsidR="00676680" w:rsidRDefault="00A837E4">
            <w:pPr>
              <w:pStyle w:val="ListParagraph"/>
              <w:numPr>
                <w:ilvl w:val="0"/>
                <w:numId w:val="26"/>
              </w:numPr>
            </w:pPr>
            <w:r>
              <w:t>Gera tillögu að gróðursetningu plantna m.t.t.vatnsþarfar þeirra þegar endurnýjað er, hafi það ekki verið ákveðið fyrirfram.</w:t>
            </w:r>
          </w:p>
          <w:p w:rsidR="00676680" w:rsidRDefault="00A837E4">
            <w:r>
              <w:rPr>
                <w:b/>
              </w:rPr>
              <w:t>Staðfesting</w:t>
            </w:r>
            <w:r>
              <w:t>:  Bjóðandi skal leggja fram viðeigandi skjöl til að sanna að kröfur séu uppfylltar. Verkkaupi leggur til gögn um vatnsbúskap og einkenni svæðisins m.t.t. loftslags og staðsetningu vökvunarkerfisins.</w:t>
            </w:r>
          </w:p>
          <w:p w:rsidR="00676680" w:rsidRDefault="00A837E4">
            <w:pPr>
              <w:pStyle w:val="ListParagraph"/>
              <w:numPr>
                <w:ilvl w:val="1"/>
                <w:numId w:val="38"/>
              </w:numPr>
            </w:pPr>
            <w:r>
              <w:rPr>
                <w:b/>
              </w:rPr>
              <w:t xml:space="preserve">Sjálfvirkt vökvunarkerfi skal uppfylla eftirfarandi kröfur: </w:t>
            </w:r>
          </w:p>
          <w:p w:rsidR="00676680" w:rsidRDefault="00A837E4">
            <w:pPr>
              <w:pStyle w:val="ListParagraph"/>
              <w:numPr>
                <w:ilvl w:val="0"/>
                <w:numId w:val="27"/>
              </w:numPr>
            </w:pPr>
            <w:r>
              <w:t xml:space="preserve">vatnsmagn vökvunarkerfisins skal vera stillanlegt eftir </w:t>
            </w:r>
            <w:r>
              <w:lastRenderedPageBreak/>
              <w:t>svæðum.</w:t>
            </w:r>
          </w:p>
          <w:p w:rsidR="00676680" w:rsidRDefault="00A837E4">
            <w:pPr>
              <w:pStyle w:val="ListParagraph"/>
              <w:numPr>
                <w:ilvl w:val="0"/>
                <w:numId w:val="27"/>
              </w:numPr>
            </w:pPr>
            <w:r>
              <w:t>vera búið tímastilli sem nota má til að stýra vökvunartímanum.</w:t>
            </w:r>
          </w:p>
          <w:p w:rsidR="00676680" w:rsidRDefault="00A837E4">
            <w:pPr>
              <w:pStyle w:val="ListParagraph"/>
              <w:numPr>
                <w:ilvl w:val="0"/>
                <w:numId w:val="27"/>
              </w:numPr>
            </w:pPr>
            <w:r>
              <w:t>vera útbúið rakamæli sem mælir raka í jarðvegi og getur sjálfvirkt stöðvað vökvun þegar raki í jarðvegi er nægjanlegur (t.d. eftir rigningu).</w:t>
            </w:r>
          </w:p>
          <w:p w:rsidR="00676680" w:rsidRDefault="00A837E4">
            <w:pPr>
              <w:pStyle w:val="ListParagraph"/>
              <w:numPr>
                <w:ilvl w:val="0"/>
                <w:numId w:val="27"/>
              </w:numPr>
            </w:pPr>
            <w:r>
              <w:t>endurnýtir vatn sem getur verið blanda af rigningarvatni, grunnvatni eða hreinsuðu grávatni, þar sem verkkaupi telur ákjósanlegt.</w:t>
            </w:r>
          </w:p>
          <w:p w:rsidR="00676680" w:rsidRDefault="00A837E4">
            <w:r>
              <w:rPr>
                <w:b/>
              </w:rPr>
              <w:t>Staðfesting</w:t>
            </w:r>
            <w:r>
              <w:t>:  Bjóðandi skal leggja fram viðeigandi tæknigögn til að sanna að kröfur séu uppfylltar. Verkkaupi leggur til gögn um vatnsbúskap og einkenni svæðisins m.t.t. loftslags og staðsetningu vökvunarkerfisins.</w:t>
            </w:r>
          </w:p>
        </w:tc>
      </w:tr>
      <w:tr w:rsidR="00676680">
        <w:tc>
          <w:tcPr>
            <w:tcW w:w="7054" w:type="dxa"/>
          </w:tcPr>
          <w:p w:rsidR="00676680" w:rsidRDefault="00A837E4">
            <w:pPr>
              <w:pStyle w:val="ListParagraph"/>
              <w:numPr>
                <w:ilvl w:val="0"/>
                <w:numId w:val="38"/>
              </w:numPr>
              <w:rPr>
                <w:b/>
              </w:rPr>
            </w:pPr>
            <w:r>
              <w:rPr>
                <w:b/>
              </w:rPr>
              <w:lastRenderedPageBreak/>
              <w:t>Úrgangur</w:t>
            </w:r>
          </w:p>
          <w:p w:rsidR="00676680" w:rsidRDefault="00A837E4">
            <w:r>
              <w:t xml:space="preserve">Úrgangur sem verður til vegna garðyrkjuþjónustunnar skal flokkaður samkvæmt eftirfarandi: </w:t>
            </w:r>
          </w:p>
          <w:p w:rsidR="00676680" w:rsidRDefault="00A837E4">
            <w:pPr>
              <w:pStyle w:val="ListParagraph"/>
              <w:numPr>
                <w:ilvl w:val="0"/>
                <w:numId w:val="29"/>
              </w:numPr>
            </w:pPr>
            <w:r>
              <w:t xml:space="preserve">Allur lífrænn úrgangur (þurr laufblöð, afklippur, gras) skal jarðgerður á staðnum, á starfsstöð fyrirtækisins eða samkvæmt samningi við úrgangsfyrirtæki sem jarðgerir. </w:t>
            </w:r>
          </w:p>
          <w:p w:rsidR="00676680" w:rsidRDefault="00A837E4">
            <w:pPr>
              <w:pStyle w:val="ListParagraph"/>
              <w:numPr>
                <w:ilvl w:val="0"/>
                <w:numId w:val="29"/>
              </w:numPr>
            </w:pPr>
            <w:r>
              <w:t>Greinar og trjáúrgangur annar skal kurlaður á staðnum eða á starfsstöð fyrirtækisins og notaður sem yfirlag á ákveðnum svæðum.</w:t>
            </w:r>
          </w:p>
          <w:p w:rsidR="00676680" w:rsidRDefault="00A837E4">
            <w:pPr>
              <w:pStyle w:val="ListParagraph"/>
              <w:numPr>
                <w:ilvl w:val="0"/>
                <w:numId w:val="29"/>
              </w:numPr>
            </w:pPr>
            <w:r>
              <w:t>Umbúðum skal safnað sér og skilað til endurvinnslu (pappi, plast o.fl.). Umbúðum utan af hættulegum úrgangi, s.s. frá varnarefnum, skal skila til öruggrar meðhöndlunar hjá viðurkenndum móttökuaðilum.</w:t>
            </w:r>
          </w:p>
          <w:p w:rsidR="00676680" w:rsidRDefault="00A837E4">
            <w:pPr>
              <w:pStyle w:val="ListParagraph"/>
              <w:numPr>
                <w:ilvl w:val="0"/>
                <w:numId w:val="29"/>
              </w:numPr>
            </w:pPr>
            <w:r>
              <w:t xml:space="preserve">Vélarolíu skal safnað og skilað til meðhöndlunar hjá viðkenndum móttökuaðilum. </w:t>
            </w:r>
          </w:p>
          <w:p w:rsidR="00676680" w:rsidRDefault="00A837E4">
            <w:pPr>
              <w:pStyle w:val="ListParagraph"/>
              <w:numPr>
                <w:ilvl w:val="0"/>
                <w:numId w:val="29"/>
              </w:numPr>
            </w:pPr>
            <w:r>
              <w:t xml:space="preserve">Ef vélar garðyrkjuþjónustunnar verða ónýtar skal bjóðandi gera </w:t>
            </w:r>
            <w:r>
              <w:lastRenderedPageBreak/>
              <w:t>grein fyrir endanlegum losunarstað.</w:t>
            </w:r>
          </w:p>
          <w:p w:rsidR="00676680" w:rsidRDefault="00A837E4">
            <w:r>
              <w:rPr>
                <w:b/>
              </w:rPr>
              <w:t>Staðfesting</w:t>
            </w:r>
            <w:r>
              <w:t>: Bjóðandi skal leggja fram viðeigandi skjöl til að sanna að kröfur séu uppfylltar.</w:t>
            </w:r>
          </w:p>
        </w:tc>
        <w:tc>
          <w:tcPr>
            <w:tcW w:w="6946" w:type="dxa"/>
          </w:tcPr>
          <w:p w:rsidR="00676680" w:rsidRDefault="00A837E4">
            <w:pPr>
              <w:pStyle w:val="ListParagraph"/>
              <w:numPr>
                <w:ilvl w:val="0"/>
                <w:numId w:val="18"/>
              </w:numPr>
              <w:rPr>
                <w:b/>
              </w:rPr>
            </w:pPr>
            <w:r>
              <w:rPr>
                <w:b/>
              </w:rPr>
              <w:lastRenderedPageBreak/>
              <w:t>Úrgangur</w:t>
            </w:r>
          </w:p>
          <w:p w:rsidR="00676680" w:rsidRDefault="00A837E4">
            <w:r>
              <w:t xml:space="preserve">Úrgangur sem verður til vegna garðyrkjuþjónustunnar skal flokkaður samkvæmt eftirfarandi: </w:t>
            </w:r>
          </w:p>
          <w:p w:rsidR="00676680" w:rsidRDefault="00A837E4">
            <w:pPr>
              <w:pStyle w:val="ListParagraph"/>
              <w:numPr>
                <w:ilvl w:val="0"/>
                <w:numId w:val="29"/>
              </w:numPr>
            </w:pPr>
            <w:r>
              <w:t xml:space="preserve">Allur lífrænn úrgangur (þurr laufblöð, afklippur, gras) skal jarðgerður á staðnum, á starfsstöð fyrirtækisins eða samkvæmt samningi við úrgangsfyrirtæki sem jarðgerir. </w:t>
            </w:r>
          </w:p>
          <w:p w:rsidR="00676680" w:rsidRDefault="00A837E4">
            <w:pPr>
              <w:pStyle w:val="ListParagraph"/>
              <w:numPr>
                <w:ilvl w:val="0"/>
                <w:numId w:val="29"/>
              </w:numPr>
            </w:pPr>
            <w:r>
              <w:t>Greinar og trjáúrgangur annar skal kurlaður á staðnum eða á starfsstöð fyrirtækisins og notaður sem yfirlag á ákveðnum svæðum.</w:t>
            </w:r>
          </w:p>
          <w:p w:rsidR="00676680" w:rsidRDefault="00A837E4">
            <w:pPr>
              <w:pStyle w:val="ListParagraph"/>
              <w:numPr>
                <w:ilvl w:val="0"/>
                <w:numId w:val="29"/>
              </w:numPr>
            </w:pPr>
            <w:r>
              <w:t>Umbúðum skal safnað sér og skilað til endurvinnslu (pappi, plast o.fl.). Umbúðum utan af hættulegum úrgangi, s.s. frá varnarefnum, skal skila til öruggrar meðhöndlunar hjá viðurkenndum móttökuaðilum.</w:t>
            </w:r>
          </w:p>
          <w:p w:rsidR="00676680" w:rsidRDefault="00A837E4">
            <w:pPr>
              <w:pStyle w:val="ListParagraph"/>
              <w:numPr>
                <w:ilvl w:val="0"/>
                <w:numId w:val="29"/>
              </w:numPr>
            </w:pPr>
            <w:r>
              <w:t xml:space="preserve">Vélarolíu skal safnað og skilað til meðhöndlunar hjá viðkenndum móttökuaðilum. </w:t>
            </w:r>
          </w:p>
          <w:p w:rsidR="00676680" w:rsidRDefault="00A837E4">
            <w:pPr>
              <w:pStyle w:val="ListParagraph"/>
              <w:numPr>
                <w:ilvl w:val="0"/>
                <w:numId w:val="29"/>
              </w:numPr>
            </w:pPr>
            <w:r>
              <w:t xml:space="preserve">Ef vélar garðyrkjuþjónustunnar verða ónýtar skal bjóðandi </w:t>
            </w:r>
            <w:r>
              <w:lastRenderedPageBreak/>
              <w:t>gera grein fyrir endanlegum losunarstað.</w:t>
            </w:r>
          </w:p>
          <w:p w:rsidR="00676680" w:rsidRDefault="00A837E4">
            <w:r>
              <w:rPr>
                <w:b/>
              </w:rPr>
              <w:t>Staðfesting</w:t>
            </w:r>
            <w:r>
              <w:t>: Bjóðandi skal leggja fram viðeigandi skjöl til að sanna að kröfur séu uppfylltar.</w:t>
            </w:r>
          </w:p>
        </w:tc>
      </w:tr>
      <w:tr w:rsidR="00676680">
        <w:tc>
          <w:tcPr>
            <w:tcW w:w="7054" w:type="dxa"/>
          </w:tcPr>
          <w:p w:rsidR="00676680" w:rsidRDefault="00A837E4">
            <w:pPr>
              <w:rPr>
                <w:b/>
              </w:rPr>
            </w:pPr>
            <w:r>
              <w:rPr>
                <w:b/>
              </w:rPr>
              <w:lastRenderedPageBreak/>
              <w:t>7. Árlegar skýrslur</w:t>
            </w:r>
          </w:p>
          <w:p w:rsidR="00676680" w:rsidRDefault="00A837E4">
            <w:r>
              <w:t>Skila skal árlega skýrslum með upplýsingum um eldsneytisnotkun vegna veittrar þjónustu, nöfn og magn áburðar, varnarefna og smurolíu sem notuð eru, magn úrgangs eftir flokkum og staðsetningu ásamt öðrum upplýsingum sem tengjast kröfum í samningi (markmið til að draga út vatnsnotkun, umbúðum o.fl.).</w:t>
            </w:r>
          </w:p>
          <w:p w:rsidR="00676680" w:rsidRDefault="00A837E4">
            <w:r>
              <w:rPr>
                <w:b/>
              </w:rPr>
              <w:t>Staðfesting</w:t>
            </w:r>
            <w:r>
              <w:t>:Verkkaupi fylgir eftir skilyrði á samningstíma.</w:t>
            </w:r>
          </w:p>
        </w:tc>
        <w:tc>
          <w:tcPr>
            <w:tcW w:w="6946" w:type="dxa"/>
          </w:tcPr>
          <w:p w:rsidR="00676680" w:rsidRDefault="00A837E4">
            <w:pPr>
              <w:rPr>
                <w:b/>
              </w:rPr>
            </w:pPr>
            <w:r>
              <w:rPr>
                <w:b/>
              </w:rPr>
              <w:t>7. Árlegar skýrslur</w:t>
            </w:r>
          </w:p>
          <w:p w:rsidR="00676680" w:rsidRDefault="00A837E4">
            <w:r>
              <w:t>Skila skal árlega skýrslum með upplýsingum um eldsneytisnotkun vegna veittrar þjónustu, nöfn og magn áburðar, varnarefna og smurolíu sem notuð eru, magn úrgangs eftir flokkum og staðsetningu ásamt öðrum upplýsingum sem tengjast kröfum í samningi (markmið til að draga út vatnsnotkun, umbúðum o.fl.).</w:t>
            </w:r>
          </w:p>
          <w:p w:rsidR="00676680" w:rsidRDefault="00A837E4">
            <w:r>
              <w:rPr>
                <w:b/>
              </w:rPr>
              <w:t>Staðfesting</w:t>
            </w:r>
            <w:r>
              <w:t>:Verkkaupi fylgir eftir skilyrði á samningstíma.</w:t>
            </w:r>
          </w:p>
        </w:tc>
      </w:tr>
      <w:tr w:rsidR="00676680">
        <w:tc>
          <w:tcPr>
            <w:tcW w:w="7054" w:type="dxa"/>
          </w:tcPr>
          <w:p w:rsidR="00676680" w:rsidRDefault="00A837E4">
            <w:pPr>
              <w:rPr>
                <w:b/>
              </w:rPr>
            </w:pPr>
            <w:r>
              <w:rPr>
                <w:b/>
              </w:rPr>
              <w:t xml:space="preserve">8. Ágengar plöntur og dýr </w:t>
            </w:r>
          </w:p>
          <w:p w:rsidR="00676680" w:rsidRDefault="00A837E4">
            <w:r>
              <w:t>Allar plöntur og dýr sem taldar eru ágengar skulu tafarlaust tilkynntar til verkkaupa og í samstarfi við hann skulu gerðar viðeigandi ráðstafanir.</w:t>
            </w:r>
          </w:p>
          <w:p w:rsidR="00676680" w:rsidRDefault="00A837E4">
            <w:r>
              <w:rPr>
                <w:b/>
              </w:rPr>
              <w:t>Staðfesting</w:t>
            </w:r>
            <w:r>
              <w:t>:Verkkaupi samræmir við skilyrðið á samningstíma.</w:t>
            </w:r>
          </w:p>
        </w:tc>
        <w:tc>
          <w:tcPr>
            <w:tcW w:w="6946" w:type="dxa"/>
          </w:tcPr>
          <w:p w:rsidR="00676680" w:rsidRDefault="00A837E4">
            <w:pPr>
              <w:rPr>
                <w:b/>
              </w:rPr>
            </w:pPr>
            <w:r>
              <w:rPr>
                <w:b/>
              </w:rPr>
              <w:t xml:space="preserve">8. Ágengar plöntur og dýr </w:t>
            </w:r>
          </w:p>
          <w:p w:rsidR="00676680" w:rsidRDefault="00A837E4">
            <w:r>
              <w:t>Allar plöntur og dýr sem taldar eru ágengar skulu tafarlaust tilkynntar til verkkaupa og í samstarfi við hann skulu gerðar viðeigandi ráðstafanir.</w:t>
            </w:r>
          </w:p>
          <w:p w:rsidR="00676680" w:rsidRDefault="00A837E4">
            <w:r>
              <w:rPr>
                <w:b/>
              </w:rPr>
              <w:t>Staðfesting</w:t>
            </w:r>
            <w:r>
              <w:t>:Verkkaupi samræmir við skilyrðið á samningstíma.</w:t>
            </w:r>
          </w:p>
        </w:tc>
      </w:tr>
      <w:tr w:rsidR="00676680">
        <w:tc>
          <w:tcPr>
            <w:tcW w:w="7054" w:type="dxa"/>
          </w:tcPr>
          <w:p w:rsidR="00676680" w:rsidRDefault="00A837E4">
            <w:pPr>
              <w:rPr>
                <w:b/>
              </w:rPr>
            </w:pPr>
            <w:r>
              <w:rPr>
                <w:b/>
              </w:rPr>
              <w:t>9. Pláguvarnir (e.</w:t>
            </w:r>
            <w:r w:rsidR="00274472">
              <w:rPr>
                <w:b/>
              </w:rPr>
              <w:t xml:space="preserve"> </w:t>
            </w:r>
            <w:r>
              <w:rPr>
                <w:b/>
              </w:rPr>
              <w:t xml:space="preserve">Pest </w:t>
            </w:r>
            <w:proofErr w:type="spellStart"/>
            <w:r>
              <w:rPr>
                <w:b/>
              </w:rPr>
              <w:t>control</w:t>
            </w:r>
            <w:proofErr w:type="spellEnd"/>
            <w:r w:rsidR="00274472">
              <w:rPr>
                <w:b/>
              </w:rPr>
              <w:t xml:space="preserve"> </w:t>
            </w:r>
            <w:proofErr w:type="spellStart"/>
            <w:r>
              <w:rPr>
                <w:b/>
              </w:rPr>
              <w:t>management</w:t>
            </w:r>
            <w:proofErr w:type="spellEnd"/>
            <w:r>
              <w:rPr>
                <w:b/>
              </w:rPr>
              <w:t xml:space="preserve">) </w:t>
            </w:r>
          </w:p>
          <w:p w:rsidR="00676680" w:rsidRDefault="00A837E4">
            <w:r>
              <w:t>Dregið skal úr notkun á varnarefnum með því að nota aðrar aðferðir (svo sem hita, vélrænar eða lífrænar varnir) fyrir helstu plöntusjúkdóma.</w:t>
            </w:r>
          </w:p>
          <w:p w:rsidR="00676680" w:rsidRDefault="00A837E4">
            <w:r>
              <w:rPr>
                <w:b/>
              </w:rPr>
              <w:t>Staðfesting</w:t>
            </w:r>
            <w:r>
              <w:t>: Bjóðandi skal leggja fram viðeigandi skjöl til að sanna að kröfur séu uppfylltar.</w:t>
            </w:r>
          </w:p>
        </w:tc>
        <w:tc>
          <w:tcPr>
            <w:tcW w:w="6946" w:type="dxa"/>
          </w:tcPr>
          <w:p w:rsidR="00676680" w:rsidRDefault="00A837E4">
            <w:pPr>
              <w:rPr>
                <w:b/>
              </w:rPr>
            </w:pPr>
            <w:r>
              <w:rPr>
                <w:b/>
              </w:rPr>
              <w:t>9. Pláguvarnir (e.</w:t>
            </w:r>
            <w:r w:rsidR="00274472">
              <w:rPr>
                <w:b/>
              </w:rPr>
              <w:t xml:space="preserve"> </w:t>
            </w:r>
            <w:r>
              <w:rPr>
                <w:b/>
              </w:rPr>
              <w:t xml:space="preserve">Pest </w:t>
            </w:r>
            <w:proofErr w:type="spellStart"/>
            <w:r>
              <w:rPr>
                <w:b/>
              </w:rPr>
              <w:t>control</w:t>
            </w:r>
            <w:proofErr w:type="spellEnd"/>
            <w:r w:rsidR="00274472">
              <w:rPr>
                <w:b/>
              </w:rPr>
              <w:t xml:space="preserve"> </w:t>
            </w:r>
            <w:proofErr w:type="spellStart"/>
            <w:r>
              <w:rPr>
                <w:b/>
              </w:rPr>
              <w:t>management</w:t>
            </w:r>
            <w:proofErr w:type="spellEnd"/>
            <w:r>
              <w:rPr>
                <w:b/>
              </w:rPr>
              <w:t xml:space="preserve">) </w:t>
            </w:r>
          </w:p>
          <w:p w:rsidR="00676680" w:rsidRDefault="00A837E4">
            <w:r>
              <w:t>Dregið skal úr notkun á varnarefnum með því að nota aðrar aðferðir (svo sem hita, vélrænar eða lífrænar varnir) fyrir helstu plöntusjúkdóma.</w:t>
            </w:r>
          </w:p>
          <w:p w:rsidR="00676680" w:rsidRDefault="00A837E4">
            <w:r>
              <w:rPr>
                <w:b/>
              </w:rPr>
              <w:t>Staðfesting</w:t>
            </w:r>
            <w:r>
              <w:t>: Bjóðandi skal leggja fram viðeigandi skjöl til að sanna að kröfur séu uppfylltar.</w:t>
            </w:r>
          </w:p>
        </w:tc>
      </w:tr>
      <w:tr w:rsidR="00676680">
        <w:tc>
          <w:tcPr>
            <w:tcW w:w="7054" w:type="dxa"/>
          </w:tcPr>
          <w:p w:rsidR="00676680" w:rsidRDefault="00676680">
            <w:pPr>
              <w:rPr>
                <w:rFonts w:cs="Times New Roman"/>
              </w:rPr>
            </w:pPr>
          </w:p>
        </w:tc>
        <w:tc>
          <w:tcPr>
            <w:tcW w:w="6946" w:type="dxa"/>
          </w:tcPr>
          <w:p w:rsidR="00676680" w:rsidRDefault="00A837E4">
            <w:r>
              <w:rPr>
                <w:b/>
              </w:rPr>
              <w:t>10.Efnisleg aðskotaefni í áburðargefandi jarðvegsbæti</w:t>
            </w:r>
          </w:p>
          <w:p w:rsidR="00676680" w:rsidRDefault="00A837E4">
            <w:r>
              <w:t xml:space="preserve">Í lokaafurðinni skulu aðskotaefni, gler, málmar og plast (samanlagt) vera lægra en 0,5% af þurrvigt. </w:t>
            </w:r>
          </w:p>
          <w:p w:rsidR="00676680" w:rsidRDefault="00A837E4">
            <w:r>
              <w:rPr>
                <w:b/>
              </w:rPr>
              <w:t>Staðfesting</w:t>
            </w:r>
            <w:r>
              <w:t xml:space="preserve">: Bjóðandi skal leggja fram viðeigandi prófunarskýrslur </w:t>
            </w:r>
            <w:r>
              <w:lastRenderedPageBreak/>
              <w:t>(EN 13650, ISO 16772 eða sambærilegt) sem sýna fram á að ofangreindum kröfum er fullnægt. Vörur sem eru umhverfismerktar (Tegund 1) og uppfylla ofangreindar kröfur teljast samræmast viðmiðunum eru fullnægjandi staðfesting. Önnur viðeigandi sönnunargögn, verða tekin gild.</w:t>
            </w:r>
          </w:p>
        </w:tc>
      </w:tr>
      <w:tr w:rsidR="00676680">
        <w:tc>
          <w:tcPr>
            <w:tcW w:w="7054" w:type="dxa"/>
          </w:tcPr>
          <w:p w:rsidR="00676680" w:rsidRDefault="00676680">
            <w:pPr>
              <w:rPr>
                <w:rFonts w:cs="Times New Roman"/>
              </w:rPr>
            </w:pPr>
          </w:p>
        </w:tc>
        <w:tc>
          <w:tcPr>
            <w:tcW w:w="6946" w:type="dxa"/>
          </w:tcPr>
          <w:p w:rsidR="00676680" w:rsidRDefault="00A837E4">
            <w:pPr>
              <w:rPr>
                <w:b/>
              </w:rPr>
            </w:pPr>
            <w:r>
              <w:rPr>
                <w:b/>
              </w:rPr>
              <w:t>11. Köfnunarefni (N) í áburðargefandi jarðvegsbæti</w:t>
            </w:r>
          </w:p>
          <w:p w:rsidR="00676680" w:rsidRDefault="00A837E4">
            <w:r>
              <w:t xml:space="preserve">Styrkur köfnunarefnis í vörunni skal ekki vera meiri en 3% af heildar N (af þyngd) og ólífrænt N skal ekki vera meira en 20% af heildar köfnunarefni (eða lífrænt N ≥ 80%). </w:t>
            </w:r>
          </w:p>
          <w:p w:rsidR="00676680" w:rsidRDefault="00A837E4">
            <w:r>
              <w:rPr>
                <w:b/>
              </w:rPr>
              <w:t>Staðfesting</w:t>
            </w:r>
            <w:r>
              <w:t>: Bjóðandi skal leggja fram viðeigandi prófunarskýrslur (EN 13650, ISO 16772 eða sambærilegt) sem sýna fram á að ofangreindum kröfum er fullnægt. Vörur sem eru umhverfismerktar (Tegund 1) og uppfylla ofangreindar kröfur teljast samræmast viðmiðunum eru fullnægjandi staðfesting. Önnur viðeigandi sönnunargögn, verða tekin gild.</w:t>
            </w:r>
          </w:p>
        </w:tc>
      </w:tr>
      <w:tr w:rsidR="00676680">
        <w:tc>
          <w:tcPr>
            <w:tcW w:w="7054" w:type="dxa"/>
          </w:tcPr>
          <w:p w:rsidR="00676680" w:rsidRDefault="00676680">
            <w:pPr>
              <w:rPr>
                <w:rFonts w:cs="Times New Roman"/>
              </w:rPr>
            </w:pPr>
          </w:p>
        </w:tc>
        <w:tc>
          <w:tcPr>
            <w:tcW w:w="6946" w:type="dxa"/>
          </w:tcPr>
          <w:p w:rsidR="00676680" w:rsidRDefault="00A837E4">
            <w:pPr>
              <w:rPr>
                <w:b/>
              </w:rPr>
            </w:pPr>
            <w:r>
              <w:rPr>
                <w:b/>
              </w:rPr>
              <w:t xml:space="preserve">12. Virkni áburðargefandi jarðvegsbætis </w:t>
            </w:r>
          </w:p>
          <w:p w:rsidR="00676680" w:rsidRDefault="00A837E4">
            <w:r>
              <w:t xml:space="preserve">Jarðvegsbætirinn skal ekki hafa neikvæð áhrif á spírun og framvindu gróðurs og innihalda að lágmarki 25% þurrefni af heildarþyngd og að lágmarki 20% lífræn efni af þurrvigt. </w:t>
            </w:r>
          </w:p>
          <w:p w:rsidR="00676680" w:rsidRDefault="00A837E4">
            <w:r>
              <w:rPr>
                <w:b/>
              </w:rPr>
              <w:t>Staðfesting</w:t>
            </w:r>
            <w:r>
              <w:t xml:space="preserve">: Bjóðandi skal leggja fram viðeigandi prófunarskýrslur (EN 13650, ISO 16772 eða sambærilegt) sem sýna fram á að ofangreindum kröfum sé fullnægt. Vörur sem eru umhverfismerktar (Tegund 1) og uppfylla ofangreindar kröfur teljast samræmast </w:t>
            </w:r>
            <w:proofErr w:type="spellStart"/>
            <w:r>
              <w:t>viðmiðunumeru</w:t>
            </w:r>
            <w:proofErr w:type="spellEnd"/>
            <w:r>
              <w:t xml:space="preserve"> fullnægjandi staðfesting. Önnur viðeigandi sönnunargögn, t.d. tæknilýsingar framleiðanda eða prófunarskýrsla óháðs aðila, verða tekin gild.</w:t>
            </w:r>
          </w:p>
        </w:tc>
      </w:tr>
      <w:tr w:rsidR="00676680">
        <w:tc>
          <w:tcPr>
            <w:tcW w:w="7054" w:type="dxa"/>
          </w:tcPr>
          <w:p w:rsidR="00676680" w:rsidRDefault="00676680">
            <w:pPr>
              <w:rPr>
                <w:rFonts w:cs="Times New Roman"/>
              </w:rPr>
            </w:pPr>
          </w:p>
        </w:tc>
        <w:tc>
          <w:tcPr>
            <w:tcW w:w="6946" w:type="dxa"/>
          </w:tcPr>
          <w:p w:rsidR="00676680" w:rsidRDefault="00A837E4">
            <w:pPr>
              <w:rPr>
                <w:b/>
              </w:rPr>
            </w:pPr>
            <w:r>
              <w:rPr>
                <w:b/>
              </w:rPr>
              <w:t>13. Áhrif</w:t>
            </w:r>
            <w:r w:rsidR="00274472">
              <w:rPr>
                <w:b/>
              </w:rPr>
              <w:t xml:space="preserve"> </w:t>
            </w:r>
            <w:r>
              <w:rPr>
                <w:b/>
              </w:rPr>
              <w:t>áburðargefandi jarðvegsbætis á heilsu og öryggi</w:t>
            </w:r>
          </w:p>
          <w:p w:rsidR="00676680" w:rsidRDefault="00A837E4">
            <w:r>
              <w:lastRenderedPageBreak/>
              <w:t xml:space="preserve">Í vörunni skal hámarksstyrkur sýkla ekki vera meiri en hér segir: </w:t>
            </w:r>
          </w:p>
          <w:p w:rsidR="00676680" w:rsidRDefault="00A837E4">
            <w:pPr>
              <w:pStyle w:val="ListParagraph"/>
              <w:numPr>
                <w:ilvl w:val="0"/>
                <w:numId w:val="17"/>
              </w:numPr>
            </w:pPr>
            <w:r>
              <w:t>Salmonella: má ekki finnast í 25g skömmtum jarðvegsbætisins.</w:t>
            </w:r>
          </w:p>
          <w:p w:rsidR="00676680" w:rsidRDefault="00A837E4">
            <w:pPr>
              <w:pStyle w:val="ListParagraph"/>
              <w:numPr>
                <w:ilvl w:val="0"/>
                <w:numId w:val="17"/>
              </w:numPr>
            </w:pPr>
            <w:r>
              <w:t xml:space="preserve">Egg </w:t>
            </w:r>
            <w:proofErr w:type="spellStart"/>
            <w:r>
              <w:t>Helminthsníkjudýra</w:t>
            </w:r>
            <w:proofErr w:type="spellEnd"/>
            <w:r>
              <w:t>: mega ekki finnast í 1,5g skömmtum jarðvegsbætisins.</w:t>
            </w:r>
          </w:p>
          <w:p w:rsidR="00676680" w:rsidRDefault="00A837E4">
            <w:pPr>
              <w:pStyle w:val="ListParagraph"/>
              <w:numPr>
                <w:ilvl w:val="0"/>
                <w:numId w:val="17"/>
              </w:numPr>
            </w:pPr>
            <w:r>
              <w:t>E.</w:t>
            </w:r>
            <w:proofErr w:type="spellStart"/>
            <w:r>
              <w:t>coli</w:t>
            </w:r>
            <w:proofErr w:type="spellEnd"/>
            <w:r>
              <w:t xml:space="preserve">: &lt;1000 MPN/g (MPN: </w:t>
            </w:r>
            <w:proofErr w:type="spellStart"/>
            <w:r>
              <w:t>mostprobablenumber</w:t>
            </w:r>
            <w:proofErr w:type="spellEnd"/>
            <w:r>
              <w:t xml:space="preserve">) </w:t>
            </w:r>
          </w:p>
          <w:p w:rsidR="00676680" w:rsidRDefault="00A837E4">
            <w:r>
              <w:rPr>
                <w:b/>
              </w:rPr>
              <w:t>Staðfesting</w:t>
            </w:r>
            <w:r>
              <w:t>: Bjóðandi skal leggja fram viðeigandi prófunarskýrslur (EN 13650, ISO 16772 eða sambærilegt) sem sýna fram á að ofangreindum kröfum er fullnægt. Vörur sem eru umhverfismerktar (Tegund 1) og uppfylla ofangreindar kröfur teljast samræmast viðmiðunum eru fullnægjandi staðfesting. Önnur viðeigandi sönnunargögn, verða tekin gild.</w:t>
            </w:r>
          </w:p>
        </w:tc>
      </w:tr>
      <w:tr w:rsidR="00676680">
        <w:tc>
          <w:tcPr>
            <w:tcW w:w="7054" w:type="dxa"/>
            <w:shd w:val="clear" w:color="auto" w:fill="92D050"/>
          </w:tcPr>
          <w:p w:rsidR="00676680" w:rsidRDefault="00A837E4">
            <w:pPr>
              <w:spacing w:line="276" w:lineRule="auto"/>
              <w:rPr>
                <w:b/>
              </w:rPr>
            </w:pPr>
            <w:r>
              <w:rPr>
                <w:b/>
              </w:rPr>
              <w:lastRenderedPageBreak/>
              <w:t>MATSVIÐMIÐ</w:t>
            </w:r>
          </w:p>
        </w:tc>
        <w:tc>
          <w:tcPr>
            <w:tcW w:w="6946" w:type="dxa"/>
            <w:shd w:val="clear" w:color="auto" w:fill="92D050"/>
          </w:tcPr>
          <w:p w:rsidR="00676680" w:rsidRDefault="00A837E4">
            <w:pPr>
              <w:spacing w:line="276" w:lineRule="auto"/>
              <w:rPr>
                <w:b/>
              </w:rPr>
            </w:pPr>
            <w:r>
              <w:rPr>
                <w:b/>
              </w:rPr>
              <w:t>MATSVIÐMIÐ</w:t>
            </w:r>
          </w:p>
        </w:tc>
      </w:tr>
      <w:tr w:rsidR="00676680">
        <w:tc>
          <w:tcPr>
            <w:tcW w:w="7054" w:type="dxa"/>
          </w:tcPr>
          <w:p w:rsidR="00676680" w:rsidRDefault="00A837E4">
            <w:pPr>
              <w:rPr>
                <w:b/>
              </w:rPr>
            </w:pPr>
            <w:r>
              <w:rPr>
                <w:b/>
              </w:rPr>
              <w:t xml:space="preserve">1. Nýjar </w:t>
            </w:r>
            <w:r w:rsidR="009A4833">
              <w:rPr>
                <w:b/>
              </w:rPr>
              <w:t>garðplöntur</w:t>
            </w:r>
          </w:p>
          <w:p w:rsidR="00676680" w:rsidRDefault="00A837E4">
            <w:r>
              <w:t xml:space="preserve">Aukastig verða veitt fyrir notkun á lífrænt ræktuðum </w:t>
            </w:r>
            <w:r w:rsidR="009A4833">
              <w:t>garðplöntum</w:t>
            </w:r>
            <w:r>
              <w:t xml:space="preserve">. </w:t>
            </w:r>
          </w:p>
          <w:p w:rsidR="00676680" w:rsidRDefault="00A837E4">
            <w:r>
              <w:rPr>
                <w:b/>
              </w:rPr>
              <w:t>Staðfesting</w:t>
            </w:r>
            <w:r>
              <w:t>:  Bjóðandi skal gera grein fyrir hlutfalli lífrænt ræktaðra plantna sem notaðar verða samkvæmt reglugerð(EC) nr.834/2007. Við árslok skal bjóðandi leggja fram lista yfir allar plöntutegundir sem notaðar voru, ásamt verði og (þar sem við á) sönnunum fyrir lífrænni ræktun.</w:t>
            </w:r>
          </w:p>
        </w:tc>
        <w:tc>
          <w:tcPr>
            <w:tcW w:w="6946" w:type="dxa"/>
          </w:tcPr>
          <w:p w:rsidR="00676680" w:rsidRDefault="00A837E4">
            <w:pPr>
              <w:rPr>
                <w:b/>
              </w:rPr>
            </w:pPr>
            <w:r>
              <w:rPr>
                <w:b/>
              </w:rPr>
              <w:t xml:space="preserve">1. Nýjar </w:t>
            </w:r>
            <w:r w:rsidR="009A4833">
              <w:rPr>
                <w:b/>
              </w:rPr>
              <w:t>garðplöntur</w:t>
            </w:r>
          </w:p>
          <w:p w:rsidR="00676680" w:rsidRDefault="00A837E4">
            <w:r>
              <w:t xml:space="preserve">Aukastig verða veitt fyrir notkun á lífrænt ræktuðum </w:t>
            </w:r>
            <w:r w:rsidR="009A4833">
              <w:t>garðplöntum</w:t>
            </w:r>
            <w:r>
              <w:t xml:space="preserve">. </w:t>
            </w:r>
          </w:p>
          <w:p w:rsidR="00676680" w:rsidRDefault="00A837E4">
            <w:r>
              <w:rPr>
                <w:b/>
              </w:rPr>
              <w:t>Staðfesting</w:t>
            </w:r>
            <w:r>
              <w:t>:  Bjóðandi skal gera grein fyrir hlutfalli lífrænt ræktaðra plantna sem notaðar verða samkvæmt reglugerð (EC) nr. 834/2007. Við árslok skal bjóðandi leggja fram lista yfir allar plöntutegundir sem notaðar voru, ásamt verði og (þar sem við á) sönnunum fyrir lífrænni ræktun.</w:t>
            </w:r>
          </w:p>
        </w:tc>
      </w:tr>
      <w:tr w:rsidR="00676680">
        <w:tc>
          <w:tcPr>
            <w:tcW w:w="7054" w:type="dxa"/>
            <w:shd w:val="clear" w:color="auto" w:fill="92D050"/>
          </w:tcPr>
          <w:p w:rsidR="00676680" w:rsidRDefault="00A837E4">
            <w:pPr>
              <w:spacing w:line="276" w:lineRule="auto"/>
              <w:rPr>
                <w:b/>
              </w:rPr>
            </w:pPr>
            <w:r>
              <w:rPr>
                <w:b/>
              </w:rPr>
              <w:t>ÁKVÆÐI UM FRAMKVÆMD SAMNINGS</w:t>
            </w:r>
          </w:p>
        </w:tc>
        <w:tc>
          <w:tcPr>
            <w:tcW w:w="6946" w:type="dxa"/>
            <w:shd w:val="clear" w:color="auto" w:fill="92D050"/>
          </w:tcPr>
          <w:p w:rsidR="00676680" w:rsidRDefault="00A837E4">
            <w:pPr>
              <w:spacing w:line="276" w:lineRule="auto"/>
              <w:rPr>
                <w:b/>
              </w:rPr>
            </w:pPr>
            <w:r>
              <w:rPr>
                <w:b/>
              </w:rPr>
              <w:t>ÁKVÆÐI UM FRAMKVÆMD SAMNINGS</w:t>
            </w:r>
          </w:p>
        </w:tc>
      </w:tr>
      <w:tr w:rsidR="00676680">
        <w:tc>
          <w:tcPr>
            <w:tcW w:w="7054" w:type="dxa"/>
          </w:tcPr>
          <w:p w:rsidR="00676680" w:rsidRDefault="00A837E4">
            <w:pPr>
              <w:rPr>
                <w:b/>
              </w:rPr>
            </w:pPr>
            <w:r>
              <w:rPr>
                <w:b/>
              </w:rPr>
              <w:t>1. Þjónustubifreiðar</w:t>
            </w:r>
          </w:p>
          <w:p w:rsidR="00676680" w:rsidRDefault="00A837E4">
            <w:r>
              <w:t xml:space="preserve">Bifreiðar sem notaðar verða í garðyrkjuþjónustunni skulu að lágmarki uppfylla skilyrði um útblástur samkvæmt EURO 4 eða IV. </w:t>
            </w:r>
          </w:p>
          <w:p w:rsidR="00676680" w:rsidRDefault="00A837E4">
            <w:r>
              <w:rPr>
                <w:b/>
              </w:rPr>
              <w:t>Staðfesting</w:t>
            </w:r>
            <w:r>
              <w:t xml:space="preserve">:  Bjóðandi skal leggja fram lista yfir þær bifreiðar sem notaðar verða í þjónustunni ásamt tæknilegum upplýsingum um þær </w:t>
            </w:r>
            <w:r>
              <w:lastRenderedPageBreak/>
              <w:t xml:space="preserve">þar sem fram koma útblástursgildi. Ef kröfur eru ekki uppfylltar við upphaf samnings, getur verkkaupi boðið tímafrest (t.d. sex mánuði) </w:t>
            </w:r>
            <w:r>
              <w:softHyphen/>
              <w:t>til að uppfylla skilyrðin.</w:t>
            </w:r>
          </w:p>
        </w:tc>
        <w:tc>
          <w:tcPr>
            <w:tcW w:w="6946" w:type="dxa"/>
          </w:tcPr>
          <w:p w:rsidR="00676680" w:rsidRDefault="00A837E4">
            <w:pPr>
              <w:rPr>
                <w:b/>
              </w:rPr>
            </w:pPr>
            <w:r>
              <w:rPr>
                <w:b/>
              </w:rPr>
              <w:lastRenderedPageBreak/>
              <w:t>1. Þjónustubifreiðar</w:t>
            </w:r>
          </w:p>
          <w:p w:rsidR="00676680" w:rsidRDefault="00A837E4">
            <w:r>
              <w:t xml:space="preserve">Bifreiðar sem notaðar verða í garðyrkjuþjónustunni skulu að lágmarki uppfylla skilyrði um útblástur samkvæmt EURO 4 eða IV. </w:t>
            </w:r>
          </w:p>
          <w:p w:rsidR="00676680" w:rsidRDefault="00A837E4">
            <w:r>
              <w:rPr>
                <w:b/>
              </w:rPr>
              <w:t>Staðfesting</w:t>
            </w:r>
            <w:r>
              <w:t xml:space="preserve">:  Bjóðandi skal leggja fram lista yfir þær bifreiðar sem notaðar verða í þjónustunni ásamt tæknilegum upplýsingum um þær </w:t>
            </w:r>
            <w:r>
              <w:lastRenderedPageBreak/>
              <w:t xml:space="preserve">þar sem fram koma útblástursgildi. Ef kröfur eru ekki uppfylltar við upphaf samnings, getur verkkaupi boðið tímafrest (t.d. sex mánuði) </w:t>
            </w:r>
            <w:r>
              <w:softHyphen/>
              <w:t>til að uppfylla skilyrðin.</w:t>
            </w:r>
          </w:p>
        </w:tc>
      </w:tr>
      <w:tr w:rsidR="00676680">
        <w:tc>
          <w:tcPr>
            <w:tcW w:w="7054" w:type="dxa"/>
          </w:tcPr>
          <w:p w:rsidR="00676680" w:rsidRDefault="00A837E4">
            <w:pPr>
              <w:rPr>
                <w:b/>
              </w:rPr>
            </w:pPr>
            <w:r>
              <w:rPr>
                <w:b/>
              </w:rPr>
              <w:lastRenderedPageBreak/>
              <w:t>2. Þjálfun starfsfólks</w:t>
            </w:r>
          </w:p>
          <w:p w:rsidR="00676680" w:rsidRDefault="00A837E4">
            <w:r>
              <w:t xml:space="preserve">Starfsmenn garðyrkjuþjónustunnar skulu hljóta þjálfun í umhverfisvænum starfsaðferðum sem tengjast þjónustunni. Þjálfunin ætti t.d. að felast í aðferðum við að spara vatn og orku, draga úr úrgangi og meðhöndla rétt, nota vörur úr endurnýjanlegu hráefni; meðhöndlun og notkun á efnum og ílátum; örugga, löglega notkun á varnarefnum þ.m.t. illgresiseyði. Þjálfun í meðhöndlun á hættulegum </w:t>
            </w:r>
            <w:proofErr w:type="spellStart"/>
            <w:r>
              <w:t>efnumer</w:t>
            </w:r>
            <w:proofErr w:type="spellEnd"/>
            <w:r>
              <w:t xml:space="preserve"> forsenda þess að starfsfólk hafi heimild til að meðhöndla slík efni.</w:t>
            </w:r>
          </w:p>
          <w:p w:rsidR="00676680" w:rsidRDefault="00A837E4">
            <w:r>
              <w:rPr>
                <w:b/>
              </w:rPr>
              <w:t>Staðfesting</w:t>
            </w:r>
            <w:r>
              <w:t>: Bjóðandi skal leggja fram þjálfunaráætlun eftir undirritun samnings og í lok samningstímabils skal hann leggja fram vottorð sem sýnir fram á þjálfun bæði nýrra og fastra starfsmanna.</w:t>
            </w:r>
          </w:p>
        </w:tc>
        <w:tc>
          <w:tcPr>
            <w:tcW w:w="6946" w:type="dxa"/>
          </w:tcPr>
          <w:p w:rsidR="00676680" w:rsidRDefault="00A837E4">
            <w:pPr>
              <w:rPr>
                <w:b/>
              </w:rPr>
            </w:pPr>
            <w:r>
              <w:rPr>
                <w:b/>
              </w:rPr>
              <w:t>2. Þjálfun starfsfólks</w:t>
            </w:r>
          </w:p>
          <w:p w:rsidR="00676680" w:rsidRDefault="00A837E4">
            <w:r>
              <w:t xml:space="preserve">Starfsmenn garðyrkjuþjónustunnar skulu hljóta þjálfun í umhverfisvænum starfsaðferðum sem tengjast þjónustunni. Þjálfunin ætti t.d. að felast í aðferðum við að spara vatn og orku, draga úr úrgangi og meðhöndla rétt, nota vörur úr endurnýjanlegu hráefni; meðhöndlun og notkun á efnum og ílátum; örugga, löglega notkun á varnarefnum þ.m.t. illgresiseyði. Þjálfun í meðhöndlun á hættulegum </w:t>
            </w:r>
            <w:proofErr w:type="spellStart"/>
            <w:r>
              <w:t>efnumer</w:t>
            </w:r>
            <w:proofErr w:type="spellEnd"/>
            <w:r>
              <w:t xml:space="preserve"> forsenda þess að starfsfólk hafi heimild til að meðhöndla slík efni.  </w:t>
            </w:r>
          </w:p>
          <w:p w:rsidR="00676680" w:rsidRDefault="00A837E4">
            <w:r>
              <w:rPr>
                <w:b/>
              </w:rPr>
              <w:t>Staðfesting</w:t>
            </w:r>
            <w:r>
              <w:t>: Bjóðandi skal leggja fram þjálfunaráætlun eftir undirritun samnings og í lok samningstímabils skal hann leggja fram vottorð sem sýnir fram á þjálfun bæði nýrra og fastra starfsmanna.</w:t>
            </w:r>
          </w:p>
        </w:tc>
      </w:tr>
    </w:tbl>
    <w:p w:rsidR="00676680" w:rsidRDefault="00676680"/>
    <w:sectPr w:rsidR="00676680">
      <w:headerReference w:type="even" r:id="rId11"/>
      <w:headerReference w:type="default" r:id="rId12"/>
      <w:footerReference w:type="even" r:id="rId13"/>
      <w:footerReference w:type="default" r:id="rId14"/>
      <w:headerReference w:type="first" r:id="rId15"/>
      <w:footerReference w:type="first" r:id="rId1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6C9" w:rsidRDefault="00FF76C9">
      <w:pPr>
        <w:spacing w:after="0" w:line="240" w:lineRule="auto"/>
      </w:pPr>
      <w:r>
        <w:separator/>
      </w:r>
    </w:p>
  </w:endnote>
  <w:endnote w:type="continuationSeparator" w:id="0">
    <w:p w:rsidR="00FF76C9" w:rsidRDefault="00FF7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6C9" w:rsidRDefault="00FF76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6C9" w:rsidRDefault="00FF76C9">
    <w:pPr>
      <w:pStyle w:val="Footer"/>
      <w:jc w:val="right"/>
      <w:rPr>
        <w:sz w:val="22"/>
      </w:rPr>
    </w:pPr>
    <w:r>
      <w:rPr>
        <w:noProof/>
        <w:sz w:val="22"/>
      </w:rPr>
      <w:fldChar w:fldCharType="begin"/>
    </w:r>
    <w:r>
      <w:rPr>
        <w:noProof/>
        <w:sz w:val="22"/>
      </w:rPr>
      <w:instrText xml:space="preserve"> PAGE  \* Arabic  \* MERGEFORMAT </w:instrText>
    </w:r>
    <w:r>
      <w:rPr>
        <w:noProof/>
        <w:sz w:val="22"/>
      </w:rPr>
      <w:fldChar w:fldCharType="separate"/>
    </w:r>
    <w:r w:rsidR="004812DF">
      <w:rPr>
        <w:noProof/>
        <w:sz w:val="22"/>
      </w:rPr>
      <w:t>25</w:t>
    </w:r>
    <w:r>
      <w:rPr>
        <w:noProof/>
        <w:sz w:val="22"/>
      </w:rPr>
      <w:fldChar w:fldCharType="end"/>
    </w:r>
    <w:r>
      <w:rPr>
        <w:noProof/>
        <w:sz w:val="22"/>
      </w:rPr>
      <w:t xml:space="preserve"> / </w:t>
    </w:r>
    <w:r w:rsidR="004812DF">
      <w:fldChar w:fldCharType="begin"/>
    </w:r>
    <w:r w:rsidR="004812DF">
      <w:instrText xml:space="preserve"> NUMPAGES  \* Arabic  \* MERGEFORMAT </w:instrText>
    </w:r>
    <w:r w:rsidR="004812DF">
      <w:fldChar w:fldCharType="separate"/>
    </w:r>
    <w:r w:rsidR="004812DF" w:rsidRPr="004812DF">
      <w:rPr>
        <w:noProof/>
        <w:sz w:val="22"/>
      </w:rPr>
      <w:t>25</w:t>
    </w:r>
    <w:r w:rsidR="004812DF">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6C9" w:rsidRDefault="00FF76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6C9" w:rsidRDefault="00FF76C9">
      <w:pPr>
        <w:spacing w:after="0" w:line="240" w:lineRule="auto"/>
      </w:pPr>
      <w:r>
        <w:separator/>
      </w:r>
    </w:p>
  </w:footnote>
  <w:footnote w:type="continuationSeparator" w:id="0">
    <w:p w:rsidR="00FF76C9" w:rsidRDefault="00FF76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6C9" w:rsidRDefault="00FF76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6C9" w:rsidRDefault="00FF76C9">
    <w:pPr>
      <w:pStyle w:val="Header"/>
      <w:rPr>
        <w:color w:val="808080" w:themeColor="background1" w:themeShade="80"/>
      </w:rPr>
    </w:pPr>
    <w:r>
      <w:rPr>
        <w:noProof/>
        <w:color w:val="808080" w:themeColor="background1" w:themeShade="80"/>
        <w:lang w:eastAsia="is-IS"/>
      </w:rPr>
      <w:drawing>
        <wp:inline distT="0" distB="0" distL="0" distR="0">
          <wp:extent cx="1282535" cy="47423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g texti VISTVÆN INNKAUP.jpg"/>
                  <pic:cNvPicPr/>
                </pic:nvPicPr>
                <pic:blipFill>
                  <a:blip r:embed="rId1">
                    <a:extLst>
                      <a:ext uri="{28A0092B-C50C-407E-A947-70E740481C1C}">
                        <a14:useLocalDpi xmlns:a14="http://schemas.microsoft.com/office/drawing/2010/main" val="0"/>
                      </a:ext>
                    </a:extLst>
                  </a:blip>
                  <a:stretch>
                    <a:fillRect/>
                  </a:stretch>
                </pic:blipFill>
                <pic:spPr>
                  <a:xfrm>
                    <a:off x="0" y="0"/>
                    <a:ext cx="1283537" cy="474605"/>
                  </a:xfrm>
                  <a:prstGeom prst="rect">
                    <a:avLst/>
                  </a:prstGeom>
                </pic:spPr>
              </pic:pic>
            </a:graphicData>
          </a:graphic>
        </wp:inline>
      </w:drawing>
    </w:r>
  </w:p>
  <w:p w:rsidR="00FF76C9" w:rsidRDefault="00FF76C9">
    <w:pPr>
      <w:pStyle w:val="Header"/>
      <w:rPr>
        <w:color w:val="808080" w:themeColor="background1" w:themeShade="8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6C9" w:rsidRDefault="00FF76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CE2"/>
    <w:multiLevelType w:val="hybridMultilevel"/>
    <w:tmpl w:val="DE56193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nsid w:val="06616878"/>
    <w:multiLevelType w:val="hybridMultilevel"/>
    <w:tmpl w:val="379A947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nsid w:val="0E755EBB"/>
    <w:multiLevelType w:val="hybridMultilevel"/>
    <w:tmpl w:val="E2A0ACE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nsid w:val="0EDE0EC5"/>
    <w:multiLevelType w:val="hybridMultilevel"/>
    <w:tmpl w:val="1F4875B2"/>
    <w:lvl w:ilvl="0" w:tplc="040F0001">
      <w:start w:val="1"/>
      <w:numFmt w:val="bullet"/>
      <w:lvlText w:val=""/>
      <w:lvlJc w:val="left"/>
      <w:pPr>
        <w:ind w:left="720" w:hanging="360"/>
      </w:pPr>
      <w:rPr>
        <w:rFonts w:ascii="Symbol" w:hAnsi="Symbol" w:hint="default"/>
      </w:rPr>
    </w:lvl>
    <w:lvl w:ilvl="1" w:tplc="C20033D6">
      <w:numFmt w:val="bullet"/>
      <w:lvlText w:val="•"/>
      <w:lvlJc w:val="left"/>
      <w:pPr>
        <w:ind w:left="1440" w:hanging="360"/>
      </w:pPr>
      <w:rPr>
        <w:rFonts w:ascii="Times New Roman" w:eastAsiaTheme="minorHAnsi" w:hAnsi="Times New Roman" w:cs="Times New Roman"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nsid w:val="13C77D72"/>
    <w:multiLevelType w:val="hybridMultilevel"/>
    <w:tmpl w:val="D16478BC"/>
    <w:lvl w:ilvl="0" w:tplc="C91A5E1E">
      <w:start w:val="2"/>
      <w:numFmt w:val="decimal"/>
      <w:lvlText w:val="%1."/>
      <w:lvlJc w:val="left"/>
      <w:pPr>
        <w:ind w:left="36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nsid w:val="16347CE3"/>
    <w:multiLevelType w:val="hybridMultilevel"/>
    <w:tmpl w:val="AD02A67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6">
    <w:nsid w:val="18F473CD"/>
    <w:multiLevelType w:val="hybridMultilevel"/>
    <w:tmpl w:val="F5AE992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
    <w:nsid w:val="197E2B0B"/>
    <w:multiLevelType w:val="hybridMultilevel"/>
    <w:tmpl w:val="5E567D02"/>
    <w:lvl w:ilvl="0" w:tplc="989C15BA">
      <w:start w:val="1"/>
      <w:numFmt w:val="decimal"/>
      <w:lvlText w:val="%1."/>
      <w:lvlJc w:val="left"/>
      <w:pPr>
        <w:ind w:left="360" w:hanging="36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8">
    <w:nsid w:val="1A47456B"/>
    <w:multiLevelType w:val="hybridMultilevel"/>
    <w:tmpl w:val="A57E786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9">
    <w:nsid w:val="1C255DAF"/>
    <w:multiLevelType w:val="hybridMultilevel"/>
    <w:tmpl w:val="FD986E20"/>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nsid w:val="1EE15C93"/>
    <w:multiLevelType w:val="hybridMultilevel"/>
    <w:tmpl w:val="615C890A"/>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1">
    <w:nsid w:val="1F6B08BB"/>
    <w:multiLevelType w:val="hybridMultilevel"/>
    <w:tmpl w:val="216ED76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2">
    <w:nsid w:val="1F861B00"/>
    <w:multiLevelType w:val="multilevel"/>
    <w:tmpl w:val="39BC371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20B45C1B"/>
    <w:multiLevelType w:val="hybridMultilevel"/>
    <w:tmpl w:val="A030BF4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4">
    <w:nsid w:val="230375A3"/>
    <w:multiLevelType w:val="hybridMultilevel"/>
    <w:tmpl w:val="9370944A"/>
    <w:lvl w:ilvl="0" w:tplc="9A401E4A">
      <w:start w:val="1"/>
      <w:numFmt w:val="decimal"/>
      <w:lvlText w:val="%1."/>
      <w:lvlJc w:val="left"/>
      <w:pPr>
        <w:ind w:left="360" w:hanging="360"/>
      </w:pPr>
      <w:rPr>
        <w:rFonts w:hint="default"/>
        <w:b/>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5">
    <w:nsid w:val="24D35A13"/>
    <w:multiLevelType w:val="hybridMultilevel"/>
    <w:tmpl w:val="950C829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6">
    <w:nsid w:val="2D781E9D"/>
    <w:multiLevelType w:val="hybridMultilevel"/>
    <w:tmpl w:val="286C2302"/>
    <w:lvl w:ilvl="0" w:tplc="2930664E">
      <w:start w:val="6"/>
      <w:numFmt w:val="decimal"/>
      <w:lvlText w:val="%1."/>
      <w:lvlJc w:val="left"/>
      <w:pPr>
        <w:ind w:left="360" w:hanging="36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17">
    <w:nsid w:val="2EDC5CDB"/>
    <w:multiLevelType w:val="hybridMultilevel"/>
    <w:tmpl w:val="2EEC9DC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8">
    <w:nsid w:val="3011387B"/>
    <w:multiLevelType w:val="hybridMultilevel"/>
    <w:tmpl w:val="68725138"/>
    <w:lvl w:ilvl="0" w:tplc="989C15BA">
      <w:start w:val="1"/>
      <w:numFmt w:val="decimal"/>
      <w:lvlText w:val="%1."/>
      <w:lvlJc w:val="left"/>
      <w:pPr>
        <w:ind w:left="360" w:hanging="36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19">
    <w:nsid w:val="35984281"/>
    <w:multiLevelType w:val="hybridMultilevel"/>
    <w:tmpl w:val="9370944A"/>
    <w:lvl w:ilvl="0" w:tplc="9A401E4A">
      <w:start w:val="1"/>
      <w:numFmt w:val="decimal"/>
      <w:lvlText w:val="%1."/>
      <w:lvlJc w:val="left"/>
      <w:pPr>
        <w:ind w:left="360" w:hanging="360"/>
      </w:pPr>
      <w:rPr>
        <w:rFonts w:hint="default"/>
        <w:b/>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0">
    <w:nsid w:val="36E47A81"/>
    <w:multiLevelType w:val="hybridMultilevel"/>
    <w:tmpl w:val="2C4A83BE"/>
    <w:lvl w:ilvl="0" w:tplc="040F000F">
      <w:start w:val="1"/>
      <w:numFmt w:val="decimal"/>
      <w:lvlText w:val="%1."/>
      <w:lvlJc w:val="left"/>
      <w:pPr>
        <w:ind w:left="360" w:hanging="36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21">
    <w:nsid w:val="3798110E"/>
    <w:multiLevelType w:val="multilevel"/>
    <w:tmpl w:val="59068F44"/>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A0B08FB"/>
    <w:multiLevelType w:val="hybridMultilevel"/>
    <w:tmpl w:val="4DFACBA2"/>
    <w:lvl w:ilvl="0" w:tplc="040F0001">
      <w:start w:val="1"/>
      <w:numFmt w:val="bullet"/>
      <w:lvlText w:val=""/>
      <w:lvlJc w:val="left"/>
      <w:pPr>
        <w:ind w:left="720" w:hanging="360"/>
      </w:pPr>
      <w:rPr>
        <w:rFonts w:ascii="Symbol" w:hAnsi="Symbol"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3">
    <w:nsid w:val="3C095BE0"/>
    <w:multiLevelType w:val="hybridMultilevel"/>
    <w:tmpl w:val="BB88FB40"/>
    <w:lvl w:ilvl="0" w:tplc="50CAABEE">
      <w:start w:val="2"/>
      <w:numFmt w:val="decimal"/>
      <w:lvlText w:val="%1."/>
      <w:lvlJc w:val="left"/>
      <w:pPr>
        <w:ind w:left="360" w:hanging="360"/>
      </w:pPr>
      <w:rPr>
        <w:rFonts w:hint="default"/>
        <w:b/>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4">
    <w:nsid w:val="3DF2221C"/>
    <w:multiLevelType w:val="hybridMultilevel"/>
    <w:tmpl w:val="FFC252D4"/>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5">
    <w:nsid w:val="3E632368"/>
    <w:multiLevelType w:val="hybridMultilevel"/>
    <w:tmpl w:val="ECA6623E"/>
    <w:lvl w:ilvl="0" w:tplc="040F000F">
      <w:start w:val="1"/>
      <w:numFmt w:val="decimal"/>
      <w:lvlText w:val="%1."/>
      <w:lvlJc w:val="left"/>
      <w:pPr>
        <w:ind w:left="720" w:hanging="360"/>
      </w:pPr>
      <w:rPr>
        <w:rFont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6">
    <w:nsid w:val="3EB15263"/>
    <w:multiLevelType w:val="hybridMultilevel"/>
    <w:tmpl w:val="C5B0A60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7">
    <w:nsid w:val="40A2411C"/>
    <w:multiLevelType w:val="hybridMultilevel"/>
    <w:tmpl w:val="F27C3D6A"/>
    <w:lvl w:ilvl="0" w:tplc="87F6628E">
      <w:start w:val="3"/>
      <w:numFmt w:val="decimal"/>
      <w:lvlText w:val="%1."/>
      <w:lvlJc w:val="left"/>
      <w:pPr>
        <w:ind w:left="36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8">
    <w:nsid w:val="437E0763"/>
    <w:multiLevelType w:val="hybridMultilevel"/>
    <w:tmpl w:val="1214F05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9">
    <w:nsid w:val="48800C6C"/>
    <w:multiLevelType w:val="hybridMultilevel"/>
    <w:tmpl w:val="6EE0FE3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0">
    <w:nsid w:val="4D2258BD"/>
    <w:multiLevelType w:val="hybridMultilevel"/>
    <w:tmpl w:val="6DBAEC34"/>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1">
    <w:nsid w:val="4D866571"/>
    <w:multiLevelType w:val="hybridMultilevel"/>
    <w:tmpl w:val="7D86184E"/>
    <w:lvl w:ilvl="0" w:tplc="989C15BA">
      <w:start w:val="1"/>
      <w:numFmt w:val="decimal"/>
      <w:lvlText w:val="%1."/>
      <w:lvlJc w:val="left"/>
      <w:pPr>
        <w:ind w:left="360" w:hanging="360"/>
      </w:pPr>
      <w:rPr>
        <w:rFonts w:hint="default"/>
        <w:b/>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2">
    <w:nsid w:val="56611861"/>
    <w:multiLevelType w:val="hybridMultilevel"/>
    <w:tmpl w:val="D400B7D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3">
    <w:nsid w:val="5E342DC3"/>
    <w:multiLevelType w:val="hybridMultilevel"/>
    <w:tmpl w:val="038A07A6"/>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4">
    <w:nsid w:val="5E58103B"/>
    <w:multiLevelType w:val="hybridMultilevel"/>
    <w:tmpl w:val="C032ED4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5">
    <w:nsid w:val="5ED13DCF"/>
    <w:multiLevelType w:val="hybridMultilevel"/>
    <w:tmpl w:val="F990BDB8"/>
    <w:lvl w:ilvl="0" w:tplc="9826642E">
      <w:start w:val="3"/>
      <w:numFmt w:val="decimal"/>
      <w:lvlText w:val="%1."/>
      <w:lvlJc w:val="left"/>
      <w:pPr>
        <w:ind w:left="360" w:hanging="360"/>
      </w:pPr>
      <w:rPr>
        <w:rFonts w:hint="default"/>
        <w:b/>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6">
    <w:nsid w:val="5F1E592F"/>
    <w:multiLevelType w:val="multilevel"/>
    <w:tmpl w:val="040F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nsid w:val="65930063"/>
    <w:multiLevelType w:val="hybridMultilevel"/>
    <w:tmpl w:val="5394BC64"/>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8">
    <w:nsid w:val="68316E73"/>
    <w:multiLevelType w:val="hybridMultilevel"/>
    <w:tmpl w:val="7D86184E"/>
    <w:lvl w:ilvl="0" w:tplc="989C15BA">
      <w:start w:val="1"/>
      <w:numFmt w:val="decimal"/>
      <w:lvlText w:val="%1."/>
      <w:lvlJc w:val="left"/>
      <w:pPr>
        <w:ind w:left="360" w:hanging="360"/>
      </w:pPr>
      <w:rPr>
        <w:rFonts w:hint="default"/>
        <w:b/>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9">
    <w:nsid w:val="70F52688"/>
    <w:multiLevelType w:val="hybridMultilevel"/>
    <w:tmpl w:val="F9049C7A"/>
    <w:lvl w:ilvl="0" w:tplc="040F000F">
      <w:start w:val="1"/>
      <w:numFmt w:val="decimal"/>
      <w:lvlText w:val="%1."/>
      <w:lvlJc w:val="left"/>
      <w:pPr>
        <w:ind w:left="360" w:hanging="36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40">
    <w:nsid w:val="717E2D6B"/>
    <w:multiLevelType w:val="hybridMultilevel"/>
    <w:tmpl w:val="1716FE8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1">
    <w:nsid w:val="74CC10E7"/>
    <w:multiLevelType w:val="hybridMultilevel"/>
    <w:tmpl w:val="725218D2"/>
    <w:lvl w:ilvl="0" w:tplc="7062F276">
      <w:start w:val="1"/>
      <w:numFmt w:val="lowerLetter"/>
      <w:lvlText w:val="%1)"/>
      <w:lvlJc w:val="left"/>
      <w:pPr>
        <w:ind w:left="360" w:hanging="360"/>
      </w:pPr>
      <w:rPr>
        <w:rFonts w:hint="default"/>
        <w:b/>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42">
    <w:nsid w:val="774310E0"/>
    <w:multiLevelType w:val="hybridMultilevel"/>
    <w:tmpl w:val="0D220F5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3">
    <w:nsid w:val="77C17108"/>
    <w:multiLevelType w:val="hybridMultilevel"/>
    <w:tmpl w:val="25AC928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4">
    <w:nsid w:val="783603D1"/>
    <w:multiLevelType w:val="hybridMultilevel"/>
    <w:tmpl w:val="1256D88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5">
    <w:nsid w:val="78DF4828"/>
    <w:multiLevelType w:val="hybridMultilevel"/>
    <w:tmpl w:val="489AC486"/>
    <w:lvl w:ilvl="0" w:tplc="040F000F">
      <w:start w:val="1"/>
      <w:numFmt w:val="decimal"/>
      <w:lvlText w:val="%1."/>
      <w:lvlJc w:val="left"/>
      <w:pPr>
        <w:ind w:left="360" w:hanging="36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46">
    <w:nsid w:val="7A555A30"/>
    <w:multiLevelType w:val="hybridMultilevel"/>
    <w:tmpl w:val="3334C70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36"/>
  </w:num>
  <w:num w:numId="2">
    <w:abstractNumId w:val="1"/>
  </w:num>
  <w:num w:numId="3">
    <w:abstractNumId w:val="33"/>
  </w:num>
  <w:num w:numId="4">
    <w:abstractNumId w:val="7"/>
  </w:num>
  <w:num w:numId="5">
    <w:abstractNumId w:val="18"/>
  </w:num>
  <w:num w:numId="6">
    <w:abstractNumId w:val="4"/>
  </w:num>
  <w:num w:numId="7">
    <w:abstractNumId w:val="27"/>
  </w:num>
  <w:num w:numId="8">
    <w:abstractNumId w:val="41"/>
  </w:num>
  <w:num w:numId="9">
    <w:abstractNumId w:val="38"/>
  </w:num>
  <w:num w:numId="10">
    <w:abstractNumId w:val="31"/>
  </w:num>
  <w:num w:numId="11">
    <w:abstractNumId w:val="23"/>
  </w:num>
  <w:num w:numId="12">
    <w:abstractNumId w:val="35"/>
  </w:num>
  <w:num w:numId="13">
    <w:abstractNumId w:val="14"/>
  </w:num>
  <w:num w:numId="14">
    <w:abstractNumId w:val="19"/>
  </w:num>
  <w:num w:numId="15">
    <w:abstractNumId w:val="3"/>
  </w:num>
  <w:num w:numId="16">
    <w:abstractNumId w:val="15"/>
  </w:num>
  <w:num w:numId="17">
    <w:abstractNumId w:val="29"/>
  </w:num>
  <w:num w:numId="18">
    <w:abstractNumId w:val="12"/>
  </w:num>
  <w:num w:numId="19">
    <w:abstractNumId w:val="24"/>
  </w:num>
  <w:num w:numId="20">
    <w:abstractNumId w:val="8"/>
  </w:num>
  <w:num w:numId="21">
    <w:abstractNumId w:val="13"/>
  </w:num>
  <w:num w:numId="22">
    <w:abstractNumId w:val="17"/>
  </w:num>
  <w:num w:numId="23">
    <w:abstractNumId w:val="40"/>
  </w:num>
  <w:num w:numId="24">
    <w:abstractNumId w:val="2"/>
  </w:num>
  <w:num w:numId="25">
    <w:abstractNumId w:val="28"/>
  </w:num>
  <w:num w:numId="26">
    <w:abstractNumId w:val="46"/>
  </w:num>
  <w:num w:numId="27">
    <w:abstractNumId w:val="26"/>
  </w:num>
  <w:num w:numId="28">
    <w:abstractNumId w:val="11"/>
  </w:num>
  <w:num w:numId="29">
    <w:abstractNumId w:val="32"/>
  </w:num>
  <w:num w:numId="30">
    <w:abstractNumId w:val="0"/>
  </w:num>
  <w:num w:numId="31">
    <w:abstractNumId w:val="34"/>
  </w:num>
  <w:num w:numId="32">
    <w:abstractNumId w:val="42"/>
  </w:num>
  <w:num w:numId="33">
    <w:abstractNumId w:val="6"/>
  </w:num>
  <w:num w:numId="34">
    <w:abstractNumId w:val="20"/>
  </w:num>
  <w:num w:numId="35">
    <w:abstractNumId w:val="45"/>
  </w:num>
  <w:num w:numId="36">
    <w:abstractNumId w:val="39"/>
  </w:num>
  <w:num w:numId="37">
    <w:abstractNumId w:val="16"/>
  </w:num>
  <w:num w:numId="38">
    <w:abstractNumId w:val="21"/>
  </w:num>
  <w:num w:numId="39">
    <w:abstractNumId w:val="5"/>
  </w:num>
  <w:num w:numId="40">
    <w:abstractNumId w:val="43"/>
  </w:num>
  <w:num w:numId="41">
    <w:abstractNumId w:val="44"/>
  </w:num>
  <w:num w:numId="42">
    <w:abstractNumId w:val="30"/>
  </w:num>
  <w:num w:numId="43">
    <w:abstractNumId w:val="10"/>
  </w:num>
  <w:num w:numId="44">
    <w:abstractNumId w:val="9"/>
  </w:num>
  <w:num w:numId="45">
    <w:abstractNumId w:val="37"/>
  </w:num>
  <w:num w:numId="46">
    <w:abstractNumId w:val="22"/>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hideSpellingErrors/>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680"/>
    <w:rsid w:val="000078F3"/>
    <w:rsid w:val="00274472"/>
    <w:rsid w:val="004812DF"/>
    <w:rsid w:val="006511D8"/>
    <w:rsid w:val="0067282E"/>
    <w:rsid w:val="00676680"/>
    <w:rsid w:val="0084410C"/>
    <w:rsid w:val="0084527B"/>
    <w:rsid w:val="009A4833"/>
    <w:rsid w:val="00A837E4"/>
    <w:rsid w:val="00CA0173"/>
    <w:rsid w:val="00CE5B4B"/>
    <w:rsid w:val="00F26F0B"/>
    <w:rsid w:val="00FF76C9"/>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B15"/>
    <w:pPr>
      <w:spacing w:after="120"/>
    </w:pPr>
    <w:rPr>
      <w:rFonts w:ascii="Times New Roman" w:hAnsi="Times New Roman"/>
      <w:sz w:val="24"/>
    </w:rPr>
  </w:style>
  <w:style w:type="paragraph" w:styleId="Heading1">
    <w:name w:val="heading 1"/>
    <w:basedOn w:val="Normal"/>
    <w:next w:val="Normal"/>
    <w:link w:val="Heading1Char"/>
    <w:uiPriority w:val="9"/>
    <w:qFormat/>
    <w:rsid w:val="000A49FB"/>
    <w:pPr>
      <w:keepNext/>
      <w:keepLines/>
      <w:numPr>
        <w:numId w:val="1"/>
      </w:numPr>
      <w:pBdr>
        <w:top w:val="single" w:sz="4" w:space="1" w:color="808080" w:themeColor="background1" w:themeShade="80"/>
        <w:bottom w:val="single" w:sz="4" w:space="1" w:color="808080" w:themeColor="background1" w:themeShade="80"/>
      </w:pBdr>
      <w:spacing w:before="480" w:after="240"/>
      <w:ind w:left="431" w:hanging="431"/>
      <w:outlineLvl w:val="0"/>
    </w:pPr>
    <w:rPr>
      <w:rFonts w:eastAsiaTheme="majorEastAsia" w:cstheme="majorBidi"/>
      <w:b/>
      <w:bCs/>
      <w:smallCaps/>
      <w:sz w:val="32"/>
      <w:szCs w:val="28"/>
    </w:rPr>
  </w:style>
  <w:style w:type="paragraph" w:styleId="Heading2">
    <w:name w:val="heading 2"/>
    <w:basedOn w:val="Normal"/>
    <w:next w:val="Normal"/>
    <w:link w:val="Heading2Char"/>
    <w:uiPriority w:val="9"/>
    <w:unhideWhenUsed/>
    <w:qFormat/>
    <w:rsid w:val="007566D8"/>
    <w:pPr>
      <w:keepNext/>
      <w:keepLines/>
      <w:numPr>
        <w:ilvl w:val="1"/>
        <w:numId w:val="1"/>
      </w:numPr>
      <w:spacing w:before="200" w:after="0"/>
      <w:outlineLvl w:val="1"/>
    </w:pPr>
    <w:rPr>
      <w:rFonts w:eastAsiaTheme="majorEastAsia" w:cstheme="majorBidi"/>
      <w:b/>
      <w:bCs/>
      <w:smallCaps/>
      <w:sz w:val="28"/>
      <w:szCs w:val="26"/>
    </w:rPr>
  </w:style>
  <w:style w:type="paragraph" w:styleId="Heading3">
    <w:name w:val="heading 3"/>
    <w:basedOn w:val="Normal"/>
    <w:next w:val="Normal"/>
    <w:link w:val="Heading3Char"/>
    <w:uiPriority w:val="9"/>
    <w:unhideWhenUsed/>
    <w:qFormat/>
    <w:rsid w:val="007566D8"/>
    <w:pPr>
      <w:keepNext/>
      <w:keepLines/>
      <w:numPr>
        <w:ilvl w:val="2"/>
        <w:numId w:val="1"/>
      </w:numPr>
      <w:spacing w:before="200" w:after="0"/>
      <w:outlineLvl w:val="2"/>
    </w:pPr>
    <w:rPr>
      <w:rFonts w:eastAsiaTheme="majorEastAsia" w:cstheme="majorBidi"/>
      <w:bCs/>
      <w:smallCaps/>
    </w:rPr>
  </w:style>
  <w:style w:type="paragraph" w:styleId="Heading4">
    <w:name w:val="heading 4"/>
    <w:basedOn w:val="Normal"/>
    <w:next w:val="Normal"/>
    <w:link w:val="Heading4Char"/>
    <w:uiPriority w:val="9"/>
    <w:semiHidden/>
    <w:unhideWhenUsed/>
    <w:qFormat/>
    <w:rsid w:val="007566D8"/>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566D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566D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566D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566D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566D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49FB"/>
    <w:rPr>
      <w:rFonts w:ascii="Times New Roman" w:eastAsiaTheme="majorEastAsia" w:hAnsi="Times New Roman" w:cstheme="majorBidi"/>
      <w:b/>
      <w:bCs/>
      <w:smallCaps/>
      <w:sz w:val="32"/>
      <w:szCs w:val="28"/>
    </w:rPr>
  </w:style>
  <w:style w:type="character" w:customStyle="1" w:styleId="Heading2Char">
    <w:name w:val="Heading 2 Char"/>
    <w:basedOn w:val="DefaultParagraphFont"/>
    <w:link w:val="Heading2"/>
    <w:uiPriority w:val="9"/>
    <w:rsid w:val="007566D8"/>
    <w:rPr>
      <w:rFonts w:ascii="Times New Roman" w:eastAsiaTheme="majorEastAsia" w:hAnsi="Times New Roman" w:cstheme="majorBidi"/>
      <w:b/>
      <w:bCs/>
      <w:smallCaps/>
      <w:sz w:val="28"/>
      <w:szCs w:val="26"/>
    </w:rPr>
  </w:style>
  <w:style w:type="character" w:customStyle="1" w:styleId="Heading3Char">
    <w:name w:val="Heading 3 Char"/>
    <w:basedOn w:val="DefaultParagraphFont"/>
    <w:link w:val="Heading3"/>
    <w:uiPriority w:val="9"/>
    <w:rsid w:val="007566D8"/>
    <w:rPr>
      <w:rFonts w:ascii="Times New Roman" w:eastAsiaTheme="majorEastAsia" w:hAnsi="Times New Roman" w:cstheme="majorBidi"/>
      <w:bCs/>
      <w:smallCaps/>
      <w:sz w:val="24"/>
    </w:rPr>
  </w:style>
  <w:style w:type="character" w:customStyle="1" w:styleId="Heading4Char">
    <w:name w:val="Heading 4 Char"/>
    <w:basedOn w:val="DefaultParagraphFont"/>
    <w:link w:val="Heading4"/>
    <w:uiPriority w:val="9"/>
    <w:semiHidden/>
    <w:rsid w:val="007566D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566D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566D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566D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566D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566D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51B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F51B15"/>
    <w:rPr>
      <w:rFonts w:ascii="Times New Roman" w:hAnsi="Times New Roman"/>
      <w:sz w:val="24"/>
    </w:rPr>
  </w:style>
  <w:style w:type="paragraph" w:styleId="Footer">
    <w:name w:val="footer"/>
    <w:basedOn w:val="Normal"/>
    <w:link w:val="FooterChar"/>
    <w:uiPriority w:val="99"/>
    <w:unhideWhenUsed/>
    <w:rsid w:val="00F51B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F51B15"/>
    <w:rPr>
      <w:rFonts w:ascii="Times New Roman" w:hAnsi="Times New Roman"/>
      <w:sz w:val="24"/>
    </w:rPr>
  </w:style>
  <w:style w:type="table" w:styleId="TableGrid">
    <w:name w:val="Table Grid"/>
    <w:basedOn w:val="TableNormal"/>
    <w:uiPriority w:val="59"/>
    <w:rsid w:val="00F51B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ill">
    <w:name w:val="Titill"/>
    <w:basedOn w:val="Normal"/>
    <w:qFormat/>
    <w:rsid w:val="00B17204"/>
    <w:pPr>
      <w:spacing w:before="120" w:line="240" w:lineRule="auto"/>
    </w:pPr>
    <w:rPr>
      <w:b/>
      <w:smallCaps/>
      <w:sz w:val="36"/>
    </w:rPr>
  </w:style>
  <w:style w:type="paragraph" w:styleId="BalloonText">
    <w:name w:val="Balloon Text"/>
    <w:basedOn w:val="Normal"/>
    <w:link w:val="BalloonTextChar"/>
    <w:uiPriority w:val="99"/>
    <w:semiHidden/>
    <w:unhideWhenUsed/>
    <w:rsid w:val="002F57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7F8"/>
    <w:rPr>
      <w:rFonts w:ascii="Tahoma" w:hAnsi="Tahoma" w:cs="Tahoma"/>
      <w:sz w:val="16"/>
      <w:szCs w:val="16"/>
    </w:rPr>
  </w:style>
  <w:style w:type="character" w:styleId="Hyperlink">
    <w:name w:val="Hyperlink"/>
    <w:basedOn w:val="DefaultParagraphFont"/>
    <w:uiPriority w:val="99"/>
    <w:unhideWhenUsed/>
    <w:rsid w:val="002A0F11"/>
    <w:rPr>
      <w:color w:val="0000FF" w:themeColor="hyperlink"/>
      <w:u w:val="single"/>
    </w:rPr>
  </w:style>
  <w:style w:type="paragraph" w:styleId="ListParagraph">
    <w:name w:val="List Paragraph"/>
    <w:basedOn w:val="Normal"/>
    <w:uiPriority w:val="34"/>
    <w:qFormat/>
    <w:rsid w:val="00DA346D"/>
    <w:pPr>
      <w:ind w:left="720"/>
      <w:contextualSpacing/>
    </w:pPr>
  </w:style>
  <w:style w:type="table" w:customStyle="1" w:styleId="TableGrid1">
    <w:name w:val="Table Grid1"/>
    <w:basedOn w:val="TableNormal"/>
    <w:next w:val="TableGrid"/>
    <w:uiPriority w:val="59"/>
    <w:rsid w:val="00994D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994D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4DE5"/>
    <w:rPr>
      <w:rFonts w:ascii="Times New Roman" w:hAnsi="Times New Roman"/>
      <w:sz w:val="20"/>
      <w:szCs w:val="20"/>
    </w:rPr>
  </w:style>
  <w:style w:type="character" w:styleId="FootnoteReference">
    <w:name w:val="footnote reference"/>
    <w:basedOn w:val="DefaultParagraphFont"/>
    <w:uiPriority w:val="99"/>
    <w:semiHidden/>
    <w:unhideWhenUsed/>
    <w:rsid w:val="00994DE5"/>
    <w:rPr>
      <w:vertAlign w:val="superscript"/>
    </w:rPr>
  </w:style>
  <w:style w:type="character" w:styleId="CommentReference">
    <w:name w:val="annotation reference"/>
    <w:basedOn w:val="DefaultParagraphFont"/>
    <w:uiPriority w:val="99"/>
    <w:semiHidden/>
    <w:unhideWhenUsed/>
    <w:rsid w:val="003A3DE0"/>
    <w:rPr>
      <w:sz w:val="16"/>
      <w:szCs w:val="16"/>
    </w:rPr>
  </w:style>
  <w:style w:type="paragraph" w:styleId="CommentText">
    <w:name w:val="annotation text"/>
    <w:basedOn w:val="Normal"/>
    <w:link w:val="CommentTextChar"/>
    <w:uiPriority w:val="99"/>
    <w:semiHidden/>
    <w:unhideWhenUsed/>
    <w:rsid w:val="003A3DE0"/>
    <w:pPr>
      <w:spacing w:line="240" w:lineRule="auto"/>
    </w:pPr>
    <w:rPr>
      <w:sz w:val="20"/>
      <w:szCs w:val="20"/>
    </w:rPr>
  </w:style>
  <w:style w:type="character" w:customStyle="1" w:styleId="CommentTextChar">
    <w:name w:val="Comment Text Char"/>
    <w:basedOn w:val="DefaultParagraphFont"/>
    <w:link w:val="CommentText"/>
    <w:uiPriority w:val="99"/>
    <w:semiHidden/>
    <w:rsid w:val="003A3DE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A3DE0"/>
    <w:rPr>
      <w:b/>
      <w:bCs/>
    </w:rPr>
  </w:style>
  <w:style w:type="character" w:customStyle="1" w:styleId="CommentSubjectChar">
    <w:name w:val="Comment Subject Char"/>
    <w:basedOn w:val="CommentTextChar"/>
    <w:link w:val="CommentSubject"/>
    <w:uiPriority w:val="99"/>
    <w:semiHidden/>
    <w:rsid w:val="003A3DE0"/>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B15"/>
    <w:pPr>
      <w:spacing w:after="120"/>
    </w:pPr>
    <w:rPr>
      <w:rFonts w:ascii="Times New Roman" w:hAnsi="Times New Roman"/>
      <w:sz w:val="24"/>
    </w:rPr>
  </w:style>
  <w:style w:type="paragraph" w:styleId="Heading1">
    <w:name w:val="heading 1"/>
    <w:basedOn w:val="Normal"/>
    <w:next w:val="Normal"/>
    <w:link w:val="Heading1Char"/>
    <w:uiPriority w:val="9"/>
    <w:qFormat/>
    <w:rsid w:val="000A49FB"/>
    <w:pPr>
      <w:keepNext/>
      <w:keepLines/>
      <w:numPr>
        <w:numId w:val="1"/>
      </w:numPr>
      <w:pBdr>
        <w:top w:val="single" w:sz="4" w:space="1" w:color="808080" w:themeColor="background1" w:themeShade="80"/>
        <w:bottom w:val="single" w:sz="4" w:space="1" w:color="808080" w:themeColor="background1" w:themeShade="80"/>
      </w:pBdr>
      <w:spacing w:before="480" w:after="240"/>
      <w:ind w:left="431" w:hanging="431"/>
      <w:outlineLvl w:val="0"/>
    </w:pPr>
    <w:rPr>
      <w:rFonts w:eastAsiaTheme="majorEastAsia" w:cstheme="majorBidi"/>
      <w:b/>
      <w:bCs/>
      <w:smallCaps/>
      <w:sz w:val="32"/>
      <w:szCs w:val="28"/>
    </w:rPr>
  </w:style>
  <w:style w:type="paragraph" w:styleId="Heading2">
    <w:name w:val="heading 2"/>
    <w:basedOn w:val="Normal"/>
    <w:next w:val="Normal"/>
    <w:link w:val="Heading2Char"/>
    <w:uiPriority w:val="9"/>
    <w:unhideWhenUsed/>
    <w:qFormat/>
    <w:rsid w:val="007566D8"/>
    <w:pPr>
      <w:keepNext/>
      <w:keepLines/>
      <w:numPr>
        <w:ilvl w:val="1"/>
        <w:numId w:val="1"/>
      </w:numPr>
      <w:spacing w:before="200" w:after="0"/>
      <w:outlineLvl w:val="1"/>
    </w:pPr>
    <w:rPr>
      <w:rFonts w:eastAsiaTheme="majorEastAsia" w:cstheme="majorBidi"/>
      <w:b/>
      <w:bCs/>
      <w:smallCaps/>
      <w:sz w:val="28"/>
      <w:szCs w:val="26"/>
    </w:rPr>
  </w:style>
  <w:style w:type="paragraph" w:styleId="Heading3">
    <w:name w:val="heading 3"/>
    <w:basedOn w:val="Normal"/>
    <w:next w:val="Normal"/>
    <w:link w:val="Heading3Char"/>
    <w:uiPriority w:val="9"/>
    <w:unhideWhenUsed/>
    <w:qFormat/>
    <w:rsid w:val="007566D8"/>
    <w:pPr>
      <w:keepNext/>
      <w:keepLines/>
      <w:numPr>
        <w:ilvl w:val="2"/>
        <w:numId w:val="1"/>
      </w:numPr>
      <w:spacing w:before="200" w:after="0"/>
      <w:outlineLvl w:val="2"/>
    </w:pPr>
    <w:rPr>
      <w:rFonts w:eastAsiaTheme="majorEastAsia" w:cstheme="majorBidi"/>
      <w:bCs/>
      <w:smallCaps/>
    </w:rPr>
  </w:style>
  <w:style w:type="paragraph" w:styleId="Heading4">
    <w:name w:val="heading 4"/>
    <w:basedOn w:val="Normal"/>
    <w:next w:val="Normal"/>
    <w:link w:val="Heading4Char"/>
    <w:uiPriority w:val="9"/>
    <w:semiHidden/>
    <w:unhideWhenUsed/>
    <w:qFormat/>
    <w:rsid w:val="007566D8"/>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566D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566D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566D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566D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566D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49FB"/>
    <w:rPr>
      <w:rFonts w:ascii="Times New Roman" w:eastAsiaTheme="majorEastAsia" w:hAnsi="Times New Roman" w:cstheme="majorBidi"/>
      <w:b/>
      <w:bCs/>
      <w:smallCaps/>
      <w:sz w:val="32"/>
      <w:szCs w:val="28"/>
    </w:rPr>
  </w:style>
  <w:style w:type="character" w:customStyle="1" w:styleId="Heading2Char">
    <w:name w:val="Heading 2 Char"/>
    <w:basedOn w:val="DefaultParagraphFont"/>
    <w:link w:val="Heading2"/>
    <w:uiPriority w:val="9"/>
    <w:rsid w:val="007566D8"/>
    <w:rPr>
      <w:rFonts w:ascii="Times New Roman" w:eastAsiaTheme="majorEastAsia" w:hAnsi="Times New Roman" w:cstheme="majorBidi"/>
      <w:b/>
      <w:bCs/>
      <w:smallCaps/>
      <w:sz w:val="28"/>
      <w:szCs w:val="26"/>
    </w:rPr>
  </w:style>
  <w:style w:type="character" w:customStyle="1" w:styleId="Heading3Char">
    <w:name w:val="Heading 3 Char"/>
    <w:basedOn w:val="DefaultParagraphFont"/>
    <w:link w:val="Heading3"/>
    <w:uiPriority w:val="9"/>
    <w:rsid w:val="007566D8"/>
    <w:rPr>
      <w:rFonts w:ascii="Times New Roman" w:eastAsiaTheme="majorEastAsia" w:hAnsi="Times New Roman" w:cstheme="majorBidi"/>
      <w:bCs/>
      <w:smallCaps/>
      <w:sz w:val="24"/>
    </w:rPr>
  </w:style>
  <w:style w:type="character" w:customStyle="1" w:styleId="Heading4Char">
    <w:name w:val="Heading 4 Char"/>
    <w:basedOn w:val="DefaultParagraphFont"/>
    <w:link w:val="Heading4"/>
    <w:uiPriority w:val="9"/>
    <w:semiHidden/>
    <w:rsid w:val="007566D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566D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566D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566D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566D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566D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51B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F51B15"/>
    <w:rPr>
      <w:rFonts w:ascii="Times New Roman" w:hAnsi="Times New Roman"/>
      <w:sz w:val="24"/>
    </w:rPr>
  </w:style>
  <w:style w:type="paragraph" w:styleId="Footer">
    <w:name w:val="footer"/>
    <w:basedOn w:val="Normal"/>
    <w:link w:val="FooterChar"/>
    <w:uiPriority w:val="99"/>
    <w:unhideWhenUsed/>
    <w:rsid w:val="00F51B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F51B15"/>
    <w:rPr>
      <w:rFonts w:ascii="Times New Roman" w:hAnsi="Times New Roman"/>
      <w:sz w:val="24"/>
    </w:rPr>
  </w:style>
  <w:style w:type="table" w:styleId="TableGrid">
    <w:name w:val="Table Grid"/>
    <w:basedOn w:val="TableNormal"/>
    <w:uiPriority w:val="59"/>
    <w:rsid w:val="00F51B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ill">
    <w:name w:val="Titill"/>
    <w:basedOn w:val="Normal"/>
    <w:qFormat/>
    <w:rsid w:val="00B17204"/>
    <w:pPr>
      <w:spacing w:before="120" w:line="240" w:lineRule="auto"/>
    </w:pPr>
    <w:rPr>
      <w:b/>
      <w:smallCaps/>
      <w:sz w:val="36"/>
    </w:rPr>
  </w:style>
  <w:style w:type="paragraph" w:styleId="BalloonText">
    <w:name w:val="Balloon Text"/>
    <w:basedOn w:val="Normal"/>
    <w:link w:val="BalloonTextChar"/>
    <w:uiPriority w:val="99"/>
    <w:semiHidden/>
    <w:unhideWhenUsed/>
    <w:rsid w:val="002F57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7F8"/>
    <w:rPr>
      <w:rFonts w:ascii="Tahoma" w:hAnsi="Tahoma" w:cs="Tahoma"/>
      <w:sz w:val="16"/>
      <w:szCs w:val="16"/>
    </w:rPr>
  </w:style>
  <w:style w:type="character" w:styleId="Hyperlink">
    <w:name w:val="Hyperlink"/>
    <w:basedOn w:val="DefaultParagraphFont"/>
    <w:uiPriority w:val="99"/>
    <w:unhideWhenUsed/>
    <w:rsid w:val="002A0F11"/>
    <w:rPr>
      <w:color w:val="0000FF" w:themeColor="hyperlink"/>
      <w:u w:val="single"/>
    </w:rPr>
  </w:style>
  <w:style w:type="paragraph" w:styleId="ListParagraph">
    <w:name w:val="List Paragraph"/>
    <w:basedOn w:val="Normal"/>
    <w:uiPriority w:val="34"/>
    <w:qFormat/>
    <w:rsid w:val="00DA346D"/>
    <w:pPr>
      <w:ind w:left="720"/>
      <w:contextualSpacing/>
    </w:pPr>
  </w:style>
  <w:style w:type="table" w:customStyle="1" w:styleId="TableGrid1">
    <w:name w:val="Table Grid1"/>
    <w:basedOn w:val="TableNormal"/>
    <w:next w:val="TableGrid"/>
    <w:uiPriority w:val="59"/>
    <w:rsid w:val="00994D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994D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4DE5"/>
    <w:rPr>
      <w:rFonts w:ascii="Times New Roman" w:hAnsi="Times New Roman"/>
      <w:sz w:val="20"/>
      <w:szCs w:val="20"/>
    </w:rPr>
  </w:style>
  <w:style w:type="character" w:styleId="FootnoteReference">
    <w:name w:val="footnote reference"/>
    <w:basedOn w:val="DefaultParagraphFont"/>
    <w:uiPriority w:val="99"/>
    <w:semiHidden/>
    <w:unhideWhenUsed/>
    <w:rsid w:val="00994DE5"/>
    <w:rPr>
      <w:vertAlign w:val="superscript"/>
    </w:rPr>
  </w:style>
  <w:style w:type="character" w:styleId="CommentReference">
    <w:name w:val="annotation reference"/>
    <w:basedOn w:val="DefaultParagraphFont"/>
    <w:uiPriority w:val="99"/>
    <w:semiHidden/>
    <w:unhideWhenUsed/>
    <w:rsid w:val="003A3DE0"/>
    <w:rPr>
      <w:sz w:val="16"/>
      <w:szCs w:val="16"/>
    </w:rPr>
  </w:style>
  <w:style w:type="paragraph" w:styleId="CommentText">
    <w:name w:val="annotation text"/>
    <w:basedOn w:val="Normal"/>
    <w:link w:val="CommentTextChar"/>
    <w:uiPriority w:val="99"/>
    <w:semiHidden/>
    <w:unhideWhenUsed/>
    <w:rsid w:val="003A3DE0"/>
    <w:pPr>
      <w:spacing w:line="240" w:lineRule="auto"/>
    </w:pPr>
    <w:rPr>
      <w:sz w:val="20"/>
      <w:szCs w:val="20"/>
    </w:rPr>
  </w:style>
  <w:style w:type="character" w:customStyle="1" w:styleId="CommentTextChar">
    <w:name w:val="Comment Text Char"/>
    <w:basedOn w:val="DefaultParagraphFont"/>
    <w:link w:val="CommentText"/>
    <w:uiPriority w:val="99"/>
    <w:semiHidden/>
    <w:rsid w:val="003A3DE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A3DE0"/>
    <w:rPr>
      <w:b/>
      <w:bCs/>
    </w:rPr>
  </w:style>
  <w:style w:type="character" w:customStyle="1" w:styleId="CommentSubjectChar">
    <w:name w:val="Comment Subject Char"/>
    <w:basedOn w:val="CommentTextChar"/>
    <w:link w:val="CommentSubject"/>
    <w:uiPriority w:val="99"/>
    <w:semiHidden/>
    <w:rsid w:val="003A3DE0"/>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ec.europa.eu/environment/gpp/toolkit_en.htm" TargetMode="External"/><Relationship Id="rId4" Type="http://schemas.microsoft.com/office/2007/relationships/stylesWithEffects" Target="stylesWithEffects.xml"/><Relationship Id="rId9" Type="http://schemas.openxmlformats.org/officeDocument/2006/relationships/hyperlink" Target="http://www.vinn.i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C0DF9-AA2C-40C6-96CA-86D796FAA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25</Pages>
  <Words>6531</Words>
  <Characters>37227</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Alta ehf</Company>
  <LinksUpToDate>false</LinksUpToDate>
  <CharactersWithSpaces>43671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dc:creator>
  <cp:lastModifiedBy>Hulda</cp:lastModifiedBy>
  <cp:revision>5</cp:revision>
  <cp:lastPrinted>2013-07-18T17:02:00Z</cp:lastPrinted>
  <dcterms:created xsi:type="dcterms:W3CDTF">2013-05-31T12:41:00Z</dcterms:created>
  <dcterms:modified xsi:type="dcterms:W3CDTF">2013-07-18T17:30:00Z</dcterms:modified>
</cp:coreProperties>
</file>